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2BD" w:rsidRPr="002E42BD" w:rsidRDefault="002E42BD" w:rsidP="002E42BD">
      <w:pPr>
        <w:widowControl/>
        <w:shd w:val="clear" w:color="auto" w:fill="FFFFFF"/>
        <w:spacing w:line="560" w:lineRule="exact"/>
        <w:ind w:firstLineChars="200" w:firstLine="883"/>
        <w:jc w:val="center"/>
        <w:rPr>
          <w:rFonts w:ascii="仿宋_GB2312" w:eastAsia="仿宋_GB2312" w:hAnsi="宋体" w:cs="宋体" w:hint="eastAsia"/>
          <w:color w:val="000000"/>
          <w:kern w:val="0"/>
          <w:sz w:val="44"/>
          <w:szCs w:val="44"/>
        </w:rPr>
      </w:pPr>
      <w:r w:rsidRPr="002E42BD">
        <w:rPr>
          <w:rFonts w:ascii="仿宋_GB2312" w:eastAsia="仿宋_GB2312" w:hAnsi="宋体" w:cs="宋体" w:hint="eastAsia"/>
          <w:b/>
          <w:bCs/>
          <w:color w:val="000000"/>
          <w:kern w:val="0"/>
          <w:sz w:val="44"/>
          <w:szCs w:val="44"/>
        </w:rPr>
        <w:t>关于印发《安徽省高等学校学术成果相似性鉴定工作规程》的通知</w:t>
      </w:r>
    </w:p>
    <w:p w:rsidR="002E42BD" w:rsidRDefault="002E42BD" w:rsidP="002E42BD">
      <w:pPr>
        <w:widowControl/>
        <w:shd w:val="clear" w:color="auto" w:fill="FFFFFF"/>
        <w:spacing w:line="560" w:lineRule="exact"/>
        <w:ind w:firstLineChars="200" w:firstLine="560"/>
        <w:jc w:val="center"/>
        <w:rPr>
          <w:rFonts w:ascii="楷体_GB2312" w:eastAsia="楷体_GB2312" w:hAnsi="宋体" w:cs="宋体" w:hint="eastAsia"/>
          <w:color w:val="000000"/>
          <w:kern w:val="0"/>
          <w:sz w:val="28"/>
          <w:szCs w:val="28"/>
        </w:rPr>
      </w:pPr>
      <w:proofErr w:type="gramStart"/>
      <w:r w:rsidRPr="002E42BD">
        <w:rPr>
          <w:rFonts w:ascii="楷体_GB2312" w:eastAsia="楷体_GB2312" w:hAnsi="宋体" w:cs="宋体" w:hint="eastAsia"/>
          <w:color w:val="000000"/>
          <w:kern w:val="0"/>
          <w:sz w:val="28"/>
          <w:szCs w:val="28"/>
        </w:rPr>
        <w:t>皖教秘</w:t>
      </w:r>
      <w:proofErr w:type="gramEnd"/>
      <w:r w:rsidRPr="002E42BD">
        <w:rPr>
          <w:rFonts w:ascii="楷体_GB2312" w:eastAsia="楷体_GB2312" w:hAnsi="宋体" w:cs="宋体" w:hint="eastAsia"/>
          <w:color w:val="000000"/>
          <w:kern w:val="0"/>
          <w:sz w:val="28"/>
          <w:szCs w:val="28"/>
        </w:rPr>
        <w:t>〔2012〕92号</w:t>
      </w:r>
    </w:p>
    <w:p w:rsidR="002E42BD" w:rsidRPr="002E42BD" w:rsidRDefault="002E42BD" w:rsidP="002E42BD">
      <w:pPr>
        <w:widowControl/>
        <w:shd w:val="clear" w:color="auto" w:fill="FFFFFF"/>
        <w:spacing w:line="560" w:lineRule="exact"/>
        <w:ind w:firstLineChars="200" w:firstLine="560"/>
        <w:jc w:val="center"/>
        <w:rPr>
          <w:rFonts w:ascii="楷体_GB2312" w:eastAsia="楷体_GB2312" w:hAnsi="宋体" w:cs="宋体" w:hint="eastAsia"/>
          <w:color w:val="000000"/>
          <w:kern w:val="0"/>
          <w:sz w:val="28"/>
          <w:szCs w:val="28"/>
        </w:rPr>
      </w:pPr>
    </w:p>
    <w:p w:rsidR="002E42BD" w:rsidRPr="002E42BD" w:rsidRDefault="002E42BD" w:rsidP="002E42BD">
      <w:pPr>
        <w:widowControl/>
        <w:shd w:val="clear" w:color="auto" w:fill="FFFFFF"/>
        <w:spacing w:line="560" w:lineRule="exact"/>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各高等学校：</w:t>
      </w:r>
    </w:p>
    <w:p w:rsidR="002E42BD" w:rsidRPr="002E42BD" w:rsidRDefault="002E42BD" w:rsidP="002E42BD">
      <w:pPr>
        <w:widowControl/>
        <w:shd w:val="clear" w:color="auto" w:fill="FFFFFF"/>
        <w:spacing w:line="560" w:lineRule="exact"/>
        <w:ind w:firstLineChars="200" w:firstLine="64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为贯彻落实国家和省中长期教育改革和发展规划纲要（2010-2020年）精神，加强学风建设，树立科研诚信，采取科技手段从源头上震慑和遏制学术不端行为，省教育厅下发了《关于委托安徽省教育评估中心承办高等学校学术成果相似性鉴定工作的通知》（</w:t>
      </w:r>
      <w:proofErr w:type="gramStart"/>
      <w:r w:rsidRPr="002E42BD">
        <w:rPr>
          <w:rFonts w:ascii="仿宋_GB2312" w:eastAsia="仿宋_GB2312" w:hAnsi="宋体" w:cs="宋体" w:hint="eastAsia"/>
          <w:color w:val="000000"/>
          <w:kern w:val="0"/>
          <w:sz w:val="32"/>
          <w:szCs w:val="32"/>
        </w:rPr>
        <w:t>皖教秘</w:t>
      </w:r>
      <w:proofErr w:type="gramEnd"/>
      <w:r w:rsidRPr="002E42BD">
        <w:rPr>
          <w:rFonts w:ascii="仿宋_GB2312" w:eastAsia="仿宋_GB2312" w:hAnsi="宋体" w:cs="宋体" w:hint="eastAsia"/>
          <w:color w:val="000000"/>
          <w:kern w:val="0"/>
          <w:sz w:val="32"/>
          <w:szCs w:val="32"/>
        </w:rPr>
        <w:t>〔2011〕363号）。为确保该项工作规范有序开展，现将《安徽省高等学校学术成果相似性鉴定工作规程》印发给你们，请遵照执行。</w:t>
      </w:r>
    </w:p>
    <w:p w:rsidR="002E42BD" w:rsidRPr="002E42BD" w:rsidRDefault="002E42BD" w:rsidP="002E42BD">
      <w:pPr>
        <w:widowControl/>
        <w:shd w:val="clear" w:color="auto" w:fill="FFFFFF"/>
        <w:spacing w:line="560" w:lineRule="exact"/>
        <w:ind w:firstLineChars="200" w:firstLine="64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 </w:t>
      </w:r>
    </w:p>
    <w:p w:rsidR="002E42BD" w:rsidRPr="002E42BD" w:rsidRDefault="002E42BD" w:rsidP="002E42BD">
      <w:pPr>
        <w:widowControl/>
        <w:shd w:val="clear" w:color="auto" w:fill="FFFFFF"/>
        <w:spacing w:line="560" w:lineRule="exact"/>
        <w:ind w:firstLineChars="200" w:firstLine="64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附件：安徽省高等学校学术成果相似性鉴定工作规程</w:t>
      </w:r>
    </w:p>
    <w:p w:rsidR="002E42BD" w:rsidRPr="002E42BD" w:rsidRDefault="002E42BD" w:rsidP="002E42BD">
      <w:pPr>
        <w:widowControl/>
        <w:shd w:val="clear" w:color="auto" w:fill="FFFFFF"/>
        <w:spacing w:line="560" w:lineRule="exact"/>
        <w:ind w:firstLineChars="200" w:firstLine="64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                             </w:t>
      </w:r>
    </w:p>
    <w:p w:rsidR="002E42BD" w:rsidRPr="002E42BD" w:rsidRDefault="002E42BD" w:rsidP="002E42BD">
      <w:pPr>
        <w:widowControl/>
        <w:shd w:val="clear" w:color="auto" w:fill="FFFFFF"/>
        <w:spacing w:line="560" w:lineRule="exact"/>
        <w:ind w:firstLineChars="1600" w:firstLine="512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二○一二年三月二日</w:t>
      </w:r>
    </w:p>
    <w:p w:rsidR="002E42BD" w:rsidRPr="002E42BD" w:rsidRDefault="002E42BD" w:rsidP="002E42BD">
      <w:pPr>
        <w:widowControl/>
        <w:shd w:val="clear" w:color="auto" w:fill="FFFFFF"/>
        <w:spacing w:line="560" w:lineRule="exact"/>
        <w:ind w:firstLineChars="200" w:firstLine="640"/>
        <w:jc w:val="left"/>
        <w:rPr>
          <w:rFonts w:ascii="仿宋_GB2312" w:eastAsia="仿宋_GB2312" w:hAnsi="宋体" w:cs="宋体" w:hint="eastAsia"/>
          <w:color w:val="000000"/>
          <w:kern w:val="0"/>
          <w:sz w:val="32"/>
          <w:szCs w:val="32"/>
        </w:rPr>
      </w:pPr>
      <w:r w:rsidRPr="002E42BD">
        <w:rPr>
          <w:rFonts w:ascii="仿宋_GB2312" w:eastAsia="仿宋_GB2312" w:hAnsi="宋体" w:cs="宋体" w:hint="eastAsia"/>
          <w:color w:val="000000"/>
          <w:kern w:val="0"/>
          <w:sz w:val="32"/>
          <w:szCs w:val="32"/>
        </w:rPr>
        <w:t> </w:t>
      </w: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2E42BD" w:rsidRDefault="002E42BD" w:rsidP="00AE4980">
      <w:pPr>
        <w:widowControl/>
        <w:shd w:val="clear" w:color="auto" w:fill="FFFFFF"/>
        <w:spacing w:line="560" w:lineRule="exact"/>
        <w:ind w:firstLineChars="200" w:firstLine="720"/>
        <w:jc w:val="center"/>
        <w:rPr>
          <w:rFonts w:ascii="方正小标宋简体" w:eastAsia="方正小标宋简体" w:hAnsi="宋体" w:cs="宋体" w:hint="eastAsia"/>
          <w:color w:val="000000"/>
          <w:kern w:val="0"/>
          <w:sz w:val="36"/>
          <w:szCs w:val="36"/>
        </w:rPr>
      </w:pPr>
    </w:p>
    <w:p w:rsidR="00AE4980" w:rsidRPr="00AE4980" w:rsidRDefault="00AE4980" w:rsidP="00AE4980">
      <w:pPr>
        <w:widowControl/>
        <w:shd w:val="clear" w:color="auto" w:fill="FFFFFF"/>
        <w:spacing w:line="560" w:lineRule="exact"/>
        <w:ind w:firstLineChars="200" w:firstLine="720"/>
        <w:jc w:val="center"/>
        <w:rPr>
          <w:rFonts w:ascii="方正小标宋简体" w:eastAsia="方正小标宋简体" w:hAnsi="Simsun" w:cs="宋体" w:hint="eastAsia"/>
          <w:color w:val="000000"/>
          <w:kern w:val="0"/>
          <w:sz w:val="36"/>
          <w:szCs w:val="36"/>
        </w:rPr>
      </w:pPr>
      <w:bookmarkStart w:id="0" w:name="_GoBack"/>
      <w:bookmarkEnd w:id="0"/>
      <w:r w:rsidRPr="00AE4980">
        <w:rPr>
          <w:rFonts w:ascii="方正小标宋简体" w:eastAsia="方正小标宋简体" w:hAnsi="宋体" w:cs="宋体" w:hint="eastAsia"/>
          <w:color w:val="000000"/>
          <w:kern w:val="0"/>
          <w:sz w:val="36"/>
          <w:szCs w:val="36"/>
        </w:rPr>
        <w:lastRenderedPageBreak/>
        <w:t>安徽省高等学校学术成果相似性鉴定工作规程</w:t>
      </w:r>
    </w:p>
    <w:p w:rsidR="00AE4980" w:rsidRPr="00AE4980" w:rsidRDefault="00AE4980" w:rsidP="00AE4980">
      <w:pPr>
        <w:widowControl/>
        <w:shd w:val="clear" w:color="auto" w:fill="FFFFFF"/>
        <w:spacing w:line="560" w:lineRule="exact"/>
        <w:ind w:firstLineChars="200" w:firstLine="480"/>
        <w:jc w:val="center"/>
        <w:rPr>
          <w:rFonts w:ascii="仿宋_GB2312" w:eastAsia="仿宋_GB2312" w:hAnsi="Simsun" w:cs="宋体" w:hint="eastAsia"/>
          <w:color w:val="000000"/>
          <w:kern w:val="0"/>
          <w:sz w:val="24"/>
          <w:szCs w:val="24"/>
        </w:rPr>
      </w:pPr>
      <w:proofErr w:type="gramStart"/>
      <w:r w:rsidRPr="00AE4980">
        <w:rPr>
          <w:rFonts w:ascii="仿宋_GB2312" w:eastAsia="仿宋_GB2312" w:hAnsi="宋体" w:cs="宋体" w:hint="eastAsia"/>
          <w:color w:val="000000"/>
          <w:kern w:val="0"/>
          <w:sz w:val="24"/>
          <w:szCs w:val="24"/>
        </w:rPr>
        <w:t>皖教秘</w:t>
      </w:r>
      <w:proofErr w:type="gramEnd"/>
      <w:r w:rsidRPr="00AE4980">
        <w:rPr>
          <w:rFonts w:ascii="仿宋_GB2312" w:eastAsia="仿宋_GB2312" w:hAnsi="宋体" w:cs="宋体" w:hint="eastAsia"/>
          <w:color w:val="000000"/>
          <w:kern w:val="0"/>
          <w:sz w:val="24"/>
          <w:szCs w:val="24"/>
        </w:rPr>
        <w:t>〔2012〕92号</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一、工作依据</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安徽省教育厅《关于委托安徽省教育评估中心承办高等学校学术成果相似性鉴定工作的通知》（</w:t>
      </w:r>
      <w:proofErr w:type="gramStart"/>
      <w:r w:rsidRPr="00AE4980">
        <w:rPr>
          <w:rFonts w:ascii="仿宋_GB2312" w:eastAsia="仿宋_GB2312" w:hAnsi="宋体" w:cs="宋体" w:hint="eastAsia"/>
          <w:color w:val="000000"/>
          <w:kern w:val="0"/>
          <w:sz w:val="28"/>
          <w:szCs w:val="28"/>
        </w:rPr>
        <w:t>皖教秘</w:t>
      </w:r>
      <w:proofErr w:type="gramEnd"/>
      <w:r w:rsidRPr="00AE4980">
        <w:rPr>
          <w:rFonts w:ascii="仿宋_GB2312" w:eastAsia="仿宋_GB2312" w:hAnsi="宋体" w:cs="宋体" w:hint="eastAsia"/>
          <w:color w:val="000000"/>
          <w:kern w:val="0"/>
          <w:sz w:val="28"/>
          <w:szCs w:val="28"/>
        </w:rPr>
        <w:t>〔2011〕363号）。</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二、鉴定范围</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鉴定范围包括：职称评审、基金和课题申报、人才引进、骨干教师及学科带头人评审，以及学术刊物、大学生毕业设计和研究生学位论文等工作中涉及的学术成果可能存在的抄袭、剽窃、一稿多投和不当署名等情况。</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三、鉴定工具</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安徽省教育评估中心与清华大学中国（同方）</w:t>
      </w:r>
      <w:proofErr w:type="gramStart"/>
      <w:r w:rsidRPr="00AE4980">
        <w:rPr>
          <w:rFonts w:ascii="仿宋_GB2312" w:eastAsia="仿宋_GB2312" w:hAnsi="宋体" w:cs="宋体" w:hint="eastAsia"/>
          <w:color w:val="000000"/>
          <w:kern w:val="0"/>
          <w:sz w:val="28"/>
          <w:szCs w:val="28"/>
        </w:rPr>
        <w:t>知网共同</w:t>
      </w:r>
      <w:proofErr w:type="gramEnd"/>
      <w:r w:rsidRPr="00AE4980">
        <w:rPr>
          <w:rFonts w:ascii="仿宋_GB2312" w:eastAsia="仿宋_GB2312" w:hAnsi="宋体" w:cs="宋体" w:hint="eastAsia"/>
          <w:color w:val="000000"/>
          <w:kern w:val="0"/>
          <w:sz w:val="28"/>
          <w:szCs w:val="28"/>
        </w:rPr>
        <w:t>改进研发的“安徽省学术鉴定信息管理系统”。</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四、鉴定工作组织形式</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鉴定工作采取两种组织形式：</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（一）自鉴：由省教育评估中心授权的学校指定部门（单位）负责实施本校学术成果相似性鉴定工作。省教育评估中心</w:t>
      </w:r>
      <w:proofErr w:type="gramStart"/>
      <w:r w:rsidRPr="00AE4980">
        <w:rPr>
          <w:rFonts w:ascii="仿宋_GB2312" w:eastAsia="仿宋_GB2312" w:hAnsi="宋体" w:cs="宋体" w:hint="eastAsia"/>
          <w:color w:val="000000"/>
          <w:kern w:val="0"/>
          <w:sz w:val="28"/>
          <w:szCs w:val="28"/>
        </w:rPr>
        <w:t>对自鉴高校</w:t>
      </w:r>
      <w:proofErr w:type="gramEnd"/>
      <w:r w:rsidRPr="00AE4980">
        <w:rPr>
          <w:rFonts w:ascii="仿宋_GB2312" w:eastAsia="仿宋_GB2312" w:hAnsi="宋体" w:cs="宋体" w:hint="eastAsia"/>
          <w:color w:val="000000"/>
          <w:kern w:val="0"/>
          <w:sz w:val="28"/>
          <w:szCs w:val="28"/>
        </w:rPr>
        <w:t>的鉴定结果进行抽检。</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（二）送鉴：由学校指定的部门（单位）将本校待鉴定的学术成果材料按要求送至省教育评估中心实施鉴定。</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五、鉴定结果的确认和使用</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省教育评估中心</w:t>
      </w:r>
      <w:proofErr w:type="gramStart"/>
      <w:r w:rsidRPr="00AE4980">
        <w:rPr>
          <w:rFonts w:ascii="仿宋_GB2312" w:eastAsia="仿宋_GB2312" w:hAnsi="宋体" w:cs="宋体" w:hint="eastAsia"/>
          <w:color w:val="000000"/>
          <w:kern w:val="0"/>
          <w:sz w:val="28"/>
          <w:szCs w:val="28"/>
        </w:rPr>
        <w:t>向送鉴者</w:t>
      </w:r>
      <w:proofErr w:type="gramEnd"/>
      <w:r w:rsidRPr="00AE4980">
        <w:rPr>
          <w:rFonts w:ascii="仿宋_GB2312" w:eastAsia="仿宋_GB2312" w:hAnsi="宋体" w:cs="宋体" w:hint="eastAsia"/>
          <w:color w:val="000000"/>
          <w:kern w:val="0"/>
          <w:sz w:val="28"/>
          <w:szCs w:val="28"/>
        </w:rPr>
        <w:t>出具“安徽省学术鉴定信息管理系统学术文献相似性检测报告单”；鉴定结果由主管部门或各送</w:t>
      </w:r>
      <w:proofErr w:type="gramStart"/>
      <w:r w:rsidRPr="00AE4980">
        <w:rPr>
          <w:rFonts w:ascii="仿宋_GB2312" w:eastAsia="仿宋_GB2312" w:hAnsi="宋体" w:cs="宋体" w:hint="eastAsia"/>
          <w:color w:val="000000"/>
          <w:kern w:val="0"/>
          <w:sz w:val="28"/>
          <w:szCs w:val="28"/>
        </w:rPr>
        <w:t>鉴</w:t>
      </w:r>
      <w:proofErr w:type="gramEnd"/>
      <w:r w:rsidRPr="00AE4980">
        <w:rPr>
          <w:rFonts w:ascii="仿宋_GB2312" w:eastAsia="仿宋_GB2312" w:hAnsi="宋体" w:cs="宋体" w:hint="eastAsia"/>
          <w:color w:val="000000"/>
          <w:kern w:val="0"/>
          <w:sz w:val="28"/>
          <w:szCs w:val="28"/>
        </w:rPr>
        <w:t>单位使用。</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六、工作流程</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lastRenderedPageBreak/>
        <w:t>（一）业务受理</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查验</w:t>
      </w:r>
      <w:proofErr w:type="gramStart"/>
      <w:r w:rsidRPr="00AE4980">
        <w:rPr>
          <w:rFonts w:ascii="仿宋_GB2312" w:eastAsia="仿宋_GB2312" w:hAnsi="宋体" w:cs="宋体" w:hint="eastAsia"/>
          <w:color w:val="000000"/>
          <w:kern w:val="0"/>
          <w:sz w:val="28"/>
          <w:szCs w:val="28"/>
        </w:rPr>
        <w:t>送鉴学校</w:t>
      </w:r>
      <w:proofErr w:type="gramEnd"/>
      <w:r w:rsidRPr="00AE4980">
        <w:rPr>
          <w:rFonts w:ascii="仿宋_GB2312" w:eastAsia="仿宋_GB2312" w:hAnsi="宋体" w:cs="宋体" w:hint="eastAsia"/>
          <w:color w:val="000000"/>
          <w:kern w:val="0"/>
          <w:sz w:val="28"/>
          <w:szCs w:val="28"/>
        </w:rPr>
        <w:t>授权委托书、学术</w:t>
      </w:r>
      <w:proofErr w:type="gramStart"/>
      <w:r w:rsidRPr="00AE4980">
        <w:rPr>
          <w:rFonts w:ascii="仿宋_GB2312" w:eastAsia="仿宋_GB2312" w:hAnsi="宋体" w:cs="宋体" w:hint="eastAsia"/>
          <w:color w:val="000000"/>
          <w:kern w:val="0"/>
          <w:sz w:val="28"/>
          <w:szCs w:val="28"/>
        </w:rPr>
        <w:t>成果送鉴明细表</w:t>
      </w:r>
      <w:proofErr w:type="gramEnd"/>
      <w:r w:rsidRPr="00AE4980">
        <w:rPr>
          <w:rFonts w:ascii="仿宋_GB2312" w:eastAsia="仿宋_GB2312" w:hAnsi="宋体" w:cs="宋体" w:hint="eastAsia"/>
          <w:color w:val="000000"/>
          <w:kern w:val="0"/>
          <w:sz w:val="28"/>
          <w:szCs w:val="28"/>
        </w:rPr>
        <w:t>（可在安徽教育评估网下载，网址：</w:t>
      </w:r>
      <w:hyperlink r:id="rId7" w:history="1">
        <w:r w:rsidRPr="00AE4980">
          <w:rPr>
            <w:rFonts w:ascii="仿宋_GB2312" w:eastAsia="仿宋_GB2312" w:hAnsi="宋体" w:cs="宋体" w:hint="eastAsia"/>
            <w:color w:val="000000"/>
            <w:kern w:val="0"/>
            <w:sz w:val="28"/>
            <w:szCs w:val="28"/>
          </w:rPr>
          <w:t>http://pgzx.ahedu.gov.cn/</w:t>
        </w:r>
      </w:hyperlink>
      <w:r w:rsidRPr="00AE4980">
        <w:rPr>
          <w:rFonts w:ascii="仿宋_GB2312" w:eastAsia="仿宋_GB2312" w:hAnsi="宋体" w:cs="宋体" w:hint="eastAsia"/>
          <w:color w:val="000000"/>
          <w:kern w:val="0"/>
          <w:sz w:val="28"/>
          <w:szCs w:val="28"/>
        </w:rPr>
        <w:t>）和送鉴人有效身份证件等材料（已发表学术成果可不提供电子版，未发表学术成果应提供电子版），必要时通知送检单位提供PDF格式电子版或文本复印件，评估中心出具接受确认函。</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（二）实施鉴定</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评估中心根据接受确认函认定待鉴定学术成果数量，按省物价局核定的价格收费后，运用鉴定工具，对</w:t>
      </w:r>
      <w:proofErr w:type="gramStart"/>
      <w:r w:rsidRPr="00AE4980">
        <w:rPr>
          <w:rFonts w:ascii="仿宋_GB2312" w:eastAsia="仿宋_GB2312" w:hAnsi="宋体" w:cs="宋体" w:hint="eastAsia"/>
          <w:color w:val="000000"/>
          <w:kern w:val="0"/>
          <w:sz w:val="28"/>
          <w:szCs w:val="28"/>
        </w:rPr>
        <w:t>送鉴学术</w:t>
      </w:r>
      <w:proofErr w:type="gramEnd"/>
      <w:r w:rsidRPr="00AE4980">
        <w:rPr>
          <w:rFonts w:ascii="仿宋_GB2312" w:eastAsia="仿宋_GB2312" w:hAnsi="宋体" w:cs="宋体" w:hint="eastAsia"/>
          <w:color w:val="000000"/>
          <w:kern w:val="0"/>
          <w:sz w:val="28"/>
          <w:szCs w:val="28"/>
        </w:rPr>
        <w:t>成果逐一实施检测鉴定。</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（三）出具鉴定报告</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出具“安徽省学术鉴定信息管理系统学术文献相似性检测报告单”（全文对照），并加盖“安徽省教育评估中心学术鉴定专用章”。原则上受理之日后7日内出具鉴定报告。</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（四）</w:t>
      </w:r>
      <w:proofErr w:type="gramStart"/>
      <w:r w:rsidRPr="00AE4980">
        <w:rPr>
          <w:rFonts w:ascii="仿宋_GB2312" w:eastAsia="仿宋_GB2312" w:hAnsi="宋体" w:cs="宋体" w:hint="eastAsia"/>
          <w:color w:val="000000"/>
          <w:kern w:val="0"/>
          <w:sz w:val="28"/>
          <w:szCs w:val="28"/>
        </w:rPr>
        <w:t>送鉴方</w:t>
      </w:r>
      <w:proofErr w:type="gramEnd"/>
      <w:r w:rsidRPr="00AE4980">
        <w:rPr>
          <w:rFonts w:ascii="仿宋_GB2312" w:eastAsia="仿宋_GB2312" w:hAnsi="宋体" w:cs="宋体" w:hint="eastAsia"/>
          <w:color w:val="000000"/>
          <w:kern w:val="0"/>
          <w:sz w:val="28"/>
          <w:szCs w:val="28"/>
        </w:rPr>
        <w:t>签收</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特别说明：</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1.学术成果相似性检测鉴定后，单位如需对已检测鉴定学术成果学术行为进行进一步鉴定，应提出书面申请，评估中心将组织鉴定专家利用鉴定工具、结合检测鉴定结果进行人工鉴定。</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2.如需纸质资料，每篇10页以内免费，10页以上每页收材料损耗费0.5元。</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七、工作纪律</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lastRenderedPageBreak/>
        <w:t>高等学校学术成果相似性鉴定工作政策性强，技术要求高，直接涉及到高校及其有关人员切身利益。为加强管理，特制定工作纪律如下：</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（一）必须确保学术成果鉴定的质量和鉴定结果的保密。</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（二）严禁相关工作人员利用工作之便私自帮助他人获取任何单位或个人的学术成果鉴定结果。</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（三）</w:t>
      </w:r>
      <w:proofErr w:type="gramStart"/>
      <w:r w:rsidRPr="00AE4980">
        <w:rPr>
          <w:rFonts w:ascii="仿宋_GB2312" w:eastAsia="仿宋_GB2312" w:hAnsi="宋体" w:cs="宋体" w:hint="eastAsia"/>
          <w:color w:val="000000"/>
          <w:kern w:val="0"/>
          <w:sz w:val="28"/>
          <w:szCs w:val="28"/>
        </w:rPr>
        <w:t>送鉴单位</w:t>
      </w:r>
      <w:proofErr w:type="gramEnd"/>
      <w:r w:rsidRPr="00AE4980">
        <w:rPr>
          <w:rFonts w:ascii="仿宋_GB2312" w:eastAsia="仿宋_GB2312" w:hAnsi="宋体" w:cs="宋体" w:hint="eastAsia"/>
          <w:color w:val="000000"/>
          <w:kern w:val="0"/>
          <w:sz w:val="28"/>
          <w:szCs w:val="28"/>
        </w:rPr>
        <w:t>报送的学术成果应当是由作者本人提供，不得进行普查性质的鉴定。</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（四）鉴定工作人员将装有鉴定报告的信件用封条密封后加盖鉴定专用章，</w:t>
      </w:r>
      <w:proofErr w:type="gramStart"/>
      <w:r w:rsidRPr="00AE4980">
        <w:rPr>
          <w:rFonts w:ascii="仿宋_GB2312" w:eastAsia="仿宋_GB2312" w:hAnsi="宋体" w:cs="宋体" w:hint="eastAsia"/>
          <w:color w:val="000000"/>
          <w:kern w:val="0"/>
          <w:sz w:val="28"/>
          <w:szCs w:val="28"/>
        </w:rPr>
        <w:t>交学校</w:t>
      </w:r>
      <w:proofErr w:type="gramEnd"/>
      <w:r w:rsidRPr="00AE4980">
        <w:rPr>
          <w:rFonts w:ascii="仿宋_GB2312" w:eastAsia="仿宋_GB2312" w:hAnsi="宋体" w:cs="宋体" w:hint="eastAsia"/>
          <w:color w:val="000000"/>
          <w:kern w:val="0"/>
          <w:sz w:val="28"/>
          <w:szCs w:val="28"/>
        </w:rPr>
        <w:t>承办机构相关人员。</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（五）</w:t>
      </w:r>
      <w:proofErr w:type="gramStart"/>
      <w:r w:rsidRPr="00AE4980">
        <w:rPr>
          <w:rFonts w:ascii="仿宋_GB2312" w:eastAsia="仿宋_GB2312" w:hAnsi="宋体" w:cs="宋体" w:hint="eastAsia"/>
          <w:color w:val="000000"/>
          <w:kern w:val="0"/>
          <w:sz w:val="28"/>
          <w:szCs w:val="28"/>
        </w:rPr>
        <w:t>送鉴单位</w:t>
      </w:r>
      <w:proofErr w:type="gramEnd"/>
      <w:r w:rsidRPr="00AE4980">
        <w:rPr>
          <w:rFonts w:ascii="仿宋_GB2312" w:eastAsia="仿宋_GB2312" w:hAnsi="宋体" w:cs="宋体" w:hint="eastAsia"/>
          <w:color w:val="000000"/>
          <w:kern w:val="0"/>
          <w:sz w:val="28"/>
          <w:szCs w:val="28"/>
        </w:rPr>
        <w:t>应加强对鉴定结果的保密管理，因工作失误造成鉴定结果泄漏，应自行承担一切后果。</w:t>
      </w:r>
    </w:p>
    <w:p w:rsidR="00AE4980" w:rsidRPr="00AE4980" w:rsidRDefault="00AE4980" w:rsidP="00AE4980">
      <w:pPr>
        <w:widowControl/>
        <w:shd w:val="clear" w:color="auto" w:fill="FFFFFF"/>
        <w:spacing w:line="560" w:lineRule="exact"/>
        <w:ind w:firstLineChars="200" w:firstLine="560"/>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color w:val="000000"/>
          <w:kern w:val="0"/>
          <w:sz w:val="28"/>
          <w:szCs w:val="28"/>
        </w:rPr>
        <w:t>（六）</w:t>
      </w:r>
      <w:proofErr w:type="gramStart"/>
      <w:r w:rsidRPr="00AE4980">
        <w:rPr>
          <w:rFonts w:ascii="仿宋_GB2312" w:eastAsia="仿宋_GB2312" w:hAnsi="宋体" w:cs="宋体" w:hint="eastAsia"/>
          <w:color w:val="000000"/>
          <w:kern w:val="0"/>
          <w:sz w:val="28"/>
          <w:szCs w:val="28"/>
        </w:rPr>
        <w:t>选择自鉴方式</w:t>
      </w:r>
      <w:proofErr w:type="gramEnd"/>
      <w:r w:rsidRPr="00AE4980">
        <w:rPr>
          <w:rFonts w:ascii="仿宋_GB2312" w:eastAsia="仿宋_GB2312" w:hAnsi="宋体" w:cs="宋体" w:hint="eastAsia"/>
          <w:color w:val="000000"/>
          <w:kern w:val="0"/>
          <w:sz w:val="28"/>
          <w:szCs w:val="28"/>
        </w:rPr>
        <w:t>的高校，要确保本校学术成果鉴定结果的安全和公正，自行对本校实施的鉴定结果的准确性和保密工作负责，并接受省教育评估中心的抽检。</w:t>
      </w:r>
    </w:p>
    <w:p w:rsidR="00AE4980" w:rsidRPr="00AE4980" w:rsidRDefault="00AE4980" w:rsidP="00AE4980">
      <w:pPr>
        <w:widowControl/>
        <w:shd w:val="clear" w:color="auto" w:fill="FFFFFF"/>
        <w:spacing w:line="560" w:lineRule="exact"/>
        <w:ind w:firstLineChars="200" w:firstLine="562"/>
        <w:jc w:val="left"/>
        <w:rPr>
          <w:rFonts w:ascii="仿宋_GB2312" w:eastAsia="仿宋_GB2312" w:hAnsi="Simsun" w:cs="宋体" w:hint="eastAsia"/>
          <w:color w:val="000000"/>
          <w:kern w:val="0"/>
          <w:sz w:val="28"/>
          <w:szCs w:val="28"/>
        </w:rPr>
      </w:pPr>
      <w:r w:rsidRPr="00AE4980">
        <w:rPr>
          <w:rFonts w:ascii="仿宋_GB2312" w:eastAsia="仿宋_GB2312" w:hAnsi="宋体" w:cs="宋体" w:hint="eastAsia"/>
          <w:b/>
          <w:bCs/>
          <w:color w:val="000000"/>
          <w:kern w:val="0"/>
          <w:sz w:val="28"/>
          <w:szCs w:val="28"/>
        </w:rPr>
        <w:t>八、有关文本、表格样本</w:t>
      </w:r>
    </w:p>
    <w:p w:rsidR="002E42BD" w:rsidRPr="00AE4980" w:rsidRDefault="002E42BD"/>
    <w:sectPr w:rsidR="002E42BD" w:rsidRPr="00AE49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D79" w:rsidRDefault="004C4D79" w:rsidP="00AE4980">
      <w:r>
        <w:separator/>
      </w:r>
    </w:p>
  </w:endnote>
  <w:endnote w:type="continuationSeparator" w:id="0">
    <w:p w:rsidR="004C4D79" w:rsidRDefault="004C4D79" w:rsidP="00AE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D79" w:rsidRDefault="004C4D79" w:rsidP="00AE4980">
      <w:r>
        <w:separator/>
      </w:r>
    </w:p>
  </w:footnote>
  <w:footnote w:type="continuationSeparator" w:id="0">
    <w:p w:rsidR="004C4D79" w:rsidRDefault="004C4D79" w:rsidP="00AE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54D"/>
    <w:rsid w:val="001C787D"/>
    <w:rsid w:val="0023670E"/>
    <w:rsid w:val="002E42BD"/>
    <w:rsid w:val="004C4D79"/>
    <w:rsid w:val="00A9054D"/>
    <w:rsid w:val="00AE4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49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4980"/>
    <w:rPr>
      <w:sz w:val="18"/>
      <w:szCs w:val="18"/>
    </w:rPr>
  </w:style>
  <w:style w:type="paragraph" w:styleId="a4">
    <w:name w:val="footer"/>
    <w:basedOn w:val="a"/>
    <w:link w:val="Char0"/>
    <w:uiPriority w:val="99"/>
    <w:unhideWhenUsed/>
    <w:rsid w:val="00AE4980"/>
    <w:pPr>
      <w:tabs>
        <w:tab w:val="center" w:pos="4153"/>
        <w:tab w:val="right" w:pos="8306"/>
      </w:tabs>
      <w:snapToGrid w:val="0"/>
      <w:jc w:val="left"/>
    </w:pPr>
    <w:rPr>
      <w:sz w:val="18"/>
      <w:szCs w:val="18"/>
    </w:rPr>
  </w:style>
  <w:style w:type="character" w:customStyle="1" w:styleId="Char0">
    <w:name w:val="页脚 Char"/>
    <w:basedOn w:val="a0"/>
    <w:link w:val="a4"/>
    <w:uiPriority w:val="99"/>
    <w:rsid w:val="00AE4980"/>
    <w:rPr>
      <w:sz w:val="18"/>
      <w:szCs w:val="18"/>
    </w:rPr>
  </w:style>
  <w:style w:type="character" w:styleId="a5">
    <w:name w:val="Strong"/>
    <w:basedOn w:val="a0"/>
    <w:uiPriority w:val="22"/>
    <w:qFormat/>
    <w:rsid w:val="00AE4980"/>
    <w:rPr>
      <w:b/>
      <w:bCs/>
    </w:rPr>
  </w:style>
  <w:style w:type="character" w:customStyle="1" w:styleId="apple-converted-space">
    <w:name w:val="apple-converted-space"/>
    <w:basedOn w:val="a0"/>
    <w:rsid w:val="00AE4980"/>
  </w:style>
  <w:style w:type="character" w:styleId="a6">
    <w:name w:val="Hyperlink"/>
    <w:basedOn w:val="a0"/>
    <w:uiPriority w:val="99"/>
    <w:semiHidden/>
    <w:unhideWhenUsed/>
    <w:rsid w:val="00AE49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49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4980"/>
    <w:rPr>
      <w:sz w:val="18"/>
      <w:szCs w:val="18"/>
    </w:rPr>
  </w:style>
  <w:style w:type="paragraph" w:styleId="a4">
    <w:name w:val="footer"/>
    <w:basedOn w:val="a"/>
    <w:link w:val="Char0"/>
    <w:uiPriority w:val="99"/>
    <w:unhideWhenUsed/>
    <w:rsid w:val="00AE4980"/>
    <w:pPr>
      <w:tabs>
        <w:tab w:val="center" w:pos="4153"/>
        <w:tab w:val="right" w:pos="8306"/>
      </w:tabs>
      <w:snapToGrid w:val="0"/>
      <w:jc w:val="left"/>
    </w:pPr>
    <w:rPr>
      <w:sz w:val="18"/>
      <w:szCs w:val="18"/>
    </w:rPr>
  </w:style>
  <w:style w:type="character" w:customStyle="1" w:styleId="Char0">
    <w:name w:val="页脚 Char"/>
    <w:basedOn w:val="a0"/>
    <w:link w:val="a4"/>
    <w:uiPriority w:val="99"/>
    <w:rsid w:val="00AE4980"/>
    <w:rPr>
      <w:sz w:val="18"/>
      <w:szCs w:val="18"/>
    </w:rPr>
  </w:style>
  <w:style w:type="character" w:styleId="a5">
    <w:name w:val="Strong"/>
    <w:basedOn w:val="a0"/>
    <w:uiPriority w:val="22"/>
    <w:qFormat/>
    <w:rsid w:val="00AE4980"/>
    <w:rPr>
      <w:b/>
      <w:bCs/>
    </w:rPr>
  </w:style>
  <w:style w:type="character" w:customStyle="1" w:styleId="apple-converted-space">
    <w:name w:val="apple-converted-space"/>
    <w:basedOn w:val="a0"/>
    <w:rsid w:val="00AE4980"/>
  </w:style>
  <w:style w:type="character" w:styleId="a6">
    <w:name w:val="Hyperlink"/>
    <w:basedOn w:val="a0"/>
    <w:uiPriority w:val="99"/>
    <w:semiHidden/>
    <w:unhideWhenUsed/>
    <w:rsid w:val="00AE49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50898">
      <w:bodyDiv w:val="1"/>
      <w:marLeft w:val="0"/>
      <w:marRight w:val="0"/>
      <w:marTop w:val="0"/>
      <w:marBottom w:val="0"/>
      <w:divBdr>
        <w:top w:val="none" w:sz="0" w:space="0" w:color="auto"/>
        <w:left w:val="none" w:sz="0" w:space="0" w:color="auto"/>
        <w:bottom w:val="none" w:sz="0" w:space="0" w:color="auto"/>
        <w:right w:val="none" w:sz="0" w:space="0" w:color="auto"/>
      </w:divBdr>
    </w:div>
    <w:div w:id="1404524643">
      <w:bodyDiv w:val="1"/>
      <w:marLeft w:val="0"/>
      <w:marRight w:val="0"/>
      <w:marTop w:val="0"/>
      <w:marBottom w:val="0"/>
      <w:divBdr>
        <w:top w:val="none" w:sz="0" w:space="0" w:color="auto"/>
        <w:left w:val="none" w:sz="0" w:space="0" w:color="auto"/>
        <w:bottom w:val="none" w:sz="0" w:space="0" w:color="auto"/>
        <w:right w:val="none" w:sz="0" w:space="0" w:color="auto"/>
      </w:divBdr>
    </w:div>
    <w:div w:id="156402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gzx.ahedu.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贾亚彬</dc:creator>
  <cp:keywords/>
  <dc:description/>
  <cp:lastModifiedBy>贾亚彬</cp:lastModifiedBy>
  <cp:revision>10</cp:revision>
  <dcterms:created xsi:type="dcterms:W3CDTF">2016-05-18T07:03:00Z</dcterms:created>
  <dcterms:modified xsi:type="dcterms:W3CDTF">2016-05-18T07:09:00Z</dcterms:modified>
</cp:coreProperties>
</file>