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F9176">
      <w:pPr>
        <w:pStyle w:val="2"/>
        <w:spacing w:beforeAutospacing="0" w:afterAutospacing="0" w:line="600" w:lineRule="exact"/>
        <w:jc w:val="both"/>
        <w:rPr>
          <w:b/>
          <w:bCs/>
          <w:highlight w:val="none"/>
        </w:rPr>
      </w:pPr>
      <w:r>
        <w:rPr>
          <w:rFonts w:ascii="仿宋_GB2312" w:eastAsia="仿宋_GB2312" w:cs="仿宋_GB2312"/>
          <w:b/>
          <w:bCs/>
          <w:color w:val="000000"/>
          <w:sz w:val="32"/>
          <w:szCs w:val="32"/>
          <w:highlight w:val="none"/>
        </w:rPr>
        <w:t>附件1：</w:t>
      </w:r>
    </w:p>
    <w:p w14:paraId="5BB2CD12">
      <w:pPr>
        <w:spacing w:line="500" w:lineRule="exact"/>
        <w:jc w:val="center"/>
        <w:rPr>
          <w:rFonts w:ascii="方正小标宋简体" w:hAnsi="方正小标宋简体" w:eastAsia="方正小标宋简体" w:cs="方正小标宋简体"/>
          <w:color w:val="404040"/>
          <w:sz w:val="44"/>
          <w:szCs w:val="44"/>
          <w:highlight w:val="none"/>
        </w:rPr>
      </w:pPr>
      <w:r>
        <w:rPr>
          <w:rFonts w:hint="eastAsia" w:ascii="方正小标宋简体" w:hAnsi="方正小标宋简体" w:eastAsia="方正小标宋简体" w:cs="方正小标宋简体"/>
          <w:color w:val="404040"/>
          <w:sz w:val="44"/>
          <w:szCs w:val="44"/>
          <w:highlight w:val="none"/>
        </w:rPr>
        <w:t>教育学习内容安排建议</w:t>
      </w:r>
    </w:p>
    <w:p w14:paraId="048EEDDC">
      <w:pPr>
        <w:spacing w:line="500" w:lineRule="exact"/>
        <w:jc w:val="center"/>
        <w:rPr>
          <w:rFonts w:ascii="方正小标宋简体" w:hAnsi="方正小标宋简体" w:eastAsia="方正小标宋简体" w:cs="方正小标宋简体"/>
          <w:color w:val="404040"/>
          <w:sz w:val="44"/>
          <w:szCs w:val="44"/>
          <w:highlight w:val="none"/>
        </w:rPr>
      </w:pPr>
    </w:p>
    <w:p w14:paraId="6A9D32E6">
      <w:pPr>
        <w:pStyle w:val="2"/>
        <w:spacing w:beforeAutospacing="0" w:afterAutospacing="0" w:line="600" w:lineRule="exact"/>
        <w:ind w:firstLine="641"/>
        <w:jc w:val="both"/>
        <w:rPr>
          <w:highlight w:val="none"/>
        </w:rPr>
      </w:pPr>
      <w:r>
        <w:rPr>
          <w:rFonts w:ascii="黑体" w:hAnsi="宋体" w:eastAsia="黑体" w:cs="黑体"/>
          <w:b/>
          <w:bCs/>
          <w:color w:val="000000"/>
          <w:sz w:val="32"/>
          <w:szCs w:val="32"/>
          <w:highlight w:val="none"/>
        </w:rPr>
        <w:t>一、习近平新时代中国特色社会主义思想专题</w:t>
      </w:r>
    </w:p>
    <w:p w14:paraId="0CBCB87C">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1.《习近平新时代中国特色社会主义思</w:t>
      </w:r>
      <w:bookmarkStart w:id="0" w:name="_GoBack"/>
      <w:bookmarkEnd w:id="0"/>
      <w:r>
        <w:rPr>
          <w:rFonts w:hint="eastAsia" w:ascii="仿宋_GB2312" w:eastAsia="仿宋_GB2312" w:cs="仿宋_GB2312"/>
          <w:color w:val="000000"/>
          <w:sz w:val="32"/>
          <w:szCs w:val="32"/>
          <w:highlight w:val="none"/>
        </w:rPr>
        <w:t>想学习纲要（2023年版）》</w:t>
      </w:r>
    </w:p>
    <w:p w14:paraId="2FDCCB1A">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2.《习近平新时代中国特色社会主义思想学习问答》</w:t>
      </w:r>
    </w:p>
    <w:p w14:paraId="3E94018F">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3.《习近平谈治国理政》</w:t>
      </w:r>
    </w:p>
    <w:p w14:paraId="6CADA14F">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4</w:t>
      </w:r>
      <w:r>
        <w:rPr>
          <w:rFonts w:ascii="仿宋_GB2312" w:eastAsia="仿宋_GB2312" w:cs="仿宋_GB2312"/>
          <w:color w:val="000000"/>
          <w:sz w:val="32"/>
          <w:szCs w:val="32"/>
          <w:highlight w:val="none"/>
        </w:rPr>
        <w:t>.</w:t>
      </w:r>
      <w:r>
        <w:rPr>
          <w:rFonts w:hint="eastAsia" w:ascii="仿宋_GB2312" w:eastAsia="仿宋_GB2312" w:cs="仿宋_GB2312"/>
          <w:color w:val="000000"/>
          <w:sz w:val="32"/>
          <w:szCs w:val="32"/>
          <w:highlight w:val="none"/>
        </w:rPr>
        <w:t>《</w:t>
      </w:r>
      <w:r>
        <w:rPr>
          <w:rFonts w:ascii="仿宋_GB2312" w:eastAsia="仿宋_GB2312" w:cs="仿宋_GB2312"/>
          <w:color w:val="000000"/>
          <w:sz w:val="32"/>
          <w:szCs w:val="32"/>
          <w:highlight w:val="none"/>
        </w:rPr>
        <w:t>习近平著作选读</w:t>
      </w:r>
      <w:r>
        <w:rPr>
          <w:rFonts w:hint="eastAsia" w:ascii="仿宋_GB2312" w:eastAsia="仿宋_GB2312" w:cs="仿宋_GB2312"/>
          <w:color w:val="000000"/>
          <w:sz w:val="32"/>
          <w:szCs w:val="32"/>
          <w:highlight w:val="none"/>
        </w:rPr>
        <w:t>》</w:t>
      </w:r>
    </w:p>
    <w:p w14:paraId="69157F42">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5.《论教育》</w:t>
      </w:r>
    </w:p>
    <w:p w14:paraId="17870669">
      <w:pPr>
        <w:pStyle w:val="2"/>
        <w:spacing w:beforeAutospacing="0" w:afterAutospacing="0" w:line="600" w:lineRule="exact"/>
        <w:ind w:firstLine="641"/>
        <w:jc w:val="both"/>
        <w:rPr>
          <w:highlight w:val="none"/>
        </w:rPr>
      </w:pPr>
      <w:r>
        <w:rPr>
          <w:rFonts w:hint="eastAsia" w:ascii="仿宋_GB2312" w:eastAsia="仿宋_GB2312" w:cs="仿宋_GB2312"/>
          <w:color w:val="000000"/>
          <w:sz w:val="32"/>
          <w:szCs w:val="32"/>
          <w:highlight w:val="none"/>
        </w:rPr>
        <w:t>6.《习近平总书记教育重要论述讲义》</w:t>
      </w:r>
    </w:p>
    <w:p w14:paraId="5D790792">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7.习近平在全国教育大会上的讲话</w:t>
      </w:r>
    </w:p>
    <w:p w14:paraId="4D8240E2">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8.习近平在全国科技大会上的讲话</w:t>
      </w:r>
    </w:p>
    <w:p w14:paraId="24AF7E90">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9.《习近平关于人才工作论述摘编》</w:t>
      </w:r>
    </w:p>
    <w:p w14:paraId="05BE13DC">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10.习近平总书记考察安徽重要讲话精神</w:t>
      </w:r>
    </w:p>
    <w:p w14:paraId="4BBDF783">
      <w:pPr>
        <w:pStyle w:val="2"/>
        <w:spacing w:beforeAutospacing="0" w:afterAutospacing="0" w:line="600" w:lineRule="exact"/>
        <w:ind w:firstLine="641"/>
        <w:jc w:val="both"/>
        <w:rPr>
          <w:highlight w:val="none"/>
        </w:rPr>
      </w:pPr>
      <w:r>
        <w:rPr>
          <w:rFonts w:hint="eastAsia" w:ascii="黑体" w:hAnsi="宋体" w:eastAsia="黑体" w:cs="黑体"/>
          <w:b/>
          <w:bCs/>
          <w:color w:val="000000"/>
          <w:sz w:val="32"/>
          <w:szCs w:val="32"/>
          <w:highlight w:val="none"/>
        </w:rPr>
        <w:t>二、学习贯彻党的二十大和二十届三中全会精神专题</w:t>
      </w:r>
    </w:p>
    <w:p w14:paraId="34760147">
      <w:pPr>
        <w:pStyle w:val="2"/>
        <w:spacing w:beforeAutospacing="0" w:afterAutospacing="0" w:line="600" w:lineRule="exact"/>
        <w:ind w:firstLine="641"/>
        <w:jc w:val="both"/>
        <w:rPr>
          <w:rFonts w:ascii="仿宋" w:hAnsi="仿宋" w:eastAsia="仿宋" w:cs="仿宋"/>
          <w:color w:val="000000"/>
          <w:sz w:val="32"/>
          <w:szCs w:val="32"/>
          <w:highlight w:val="none"/>
        </w:rPr>
      </w:pPr>
      <w:r>
        <w:rPr>
          <w:rFonts w:ascii="仿宋" w:hAnsi="仿宋" w:eastAsia="仿宋" w:cs="仿宋"/>
          <w:color w:val="000000"/>
          <w:sz w:val="32"/>
          <w:szCs w:val="32"/>
          <w:highlight w:val="none"/>
        </w:rPr>
        <w:t>1.</w:t>
      </w:r>
      <w:r>
        <w:rPr>
          <w:rFonts w:hint="eastAsia" w:ascii="仿宋" w:hAnsi="仿宋" w:eastAsia="仿宋" w:cs="仿宋"/>
          <w:color w:val="000000"/>
          <w:sz w:val="32"/>
          <w:szCs w:val="32"/>
          <w:highlight w:val="none"/>
        </w:rPr>
        <w:t>中国共产党第二十次全国代表大会报告</w:t>
      </w:r>
    </w:p>
    <w:p w14:paraId="66837978">
      <w:pPr>
        <w:pStyle w:val="2"/>
        <w:spacing w:beforeAutospacing="0" w:afterAutospacing="0" w:line="600" w:lineRule="exact"/>
        <w:ind w:firstLine="641"/>
        <w:jc w:val="both"/>
        <w:rPr>
          <w:highlight w:val="none"/>
        </w:rPr>
      </w:pPr>
      <w:r>
        <w:rPr>
          <w:rFonts w:hint="eastAsia" w:ascii="仿宋_GB2312" w:eastAsia="仿宋_GB2312" w:cs="仿宋_GB2312"/>
          <w:color w:val="000000"/>
          <w:sz w:val="32"/>
          <w:szCs w:val="32"/>
          <w:highlight w:val="none"/>
        </w:rPr>
        <w:t>2.党的二十大辅导读本</w:t>
      </w:r>
    </w:p>
    <w:p w14:paraId="551122D0">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3.党的二十大百问</w:t>
      </w:r>
    </w:p>
    <w:p w14:paraId="48FE4C2F">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4.二十届中央政治局集体学习精神</w:t>
      </w:r>
    </w:p>
    <w:p w14:paraId="64EF00D3">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5.中国共产党第二十届中央委员会第三次全体会议公报</w:t>
      </w:r>
    </w:p>
    <w:p w14:paraId="7D1BA9DE">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6.《中共中央关于进一步全面深化改革 推进中国式现代化的决定》</w:t>
      </w:r>
    </w:p>
    <w:p w14:paraId="71902707">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7.关于《中共中央关于进一步全面深化改革 推进中国式现代化的决定》的说明</w:t>
      </w:r>
    </w:p>
    <w:p w14:paraId="0516F4B6">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8.《中共中央关于进一步全面深化改革、推进中国式现代化的决定》辅导读本</w:t>
      </w:r>
    </w:p>
    <w:p w14:paraId="6CA09302">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9.《党的二十届三中全会〈决定〉学习辅导百问》</w:t>
      </w:r>
    </w:p>
    <w:p w14:paraId="4E85FA1B">
      <w:pPr>
        <w:pStyle w:val="2"/>
        <w:spacing w:beforeAutospacing="0" w:afterAutospacing="0" w:line="600" w:lineRule="exact"/>
        <w:ind w:firstLine="641"/>
        <w:jc w:val="both"/>
        <w:rPr>
          <w:highlight w:val="none"/>
        </w:rPr>
      </w:pPr>
      <w:r>
        <w:rPr>
          <w:rFonts w:hint="eastAsia" w:ascii="仿宋_GB2312" w:eastAsia="仿宋_GB2312" w:cs="仿宋_GB2312"/>
          <w:color w:val="000000"/>
          <w:sz w:val="32"/>
          <w:szCs w:val="32"/>
          <w:highlight w:val="none"/>
        </w:rPr>
        <w:t>10.全国、全省“两会”精神</w:t>
      </w:r>
    </w:p>
    <w:p w14:paraId="37A071B2">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11.全国、全省教育工作会议精神</w:t>
      </w:r>
    </w:p>
    <w:p w14:paraId="3099EA51">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12.《教育强国建设规划纲要（2024—2035年）》</w:t>
      </w:r>
    </w:p>
    <w:p w14:paraId="2CC762BE">
      <w:pPr>
        <w:pStyle w:val="2"/>
        <w:spacing w:beforeAutospacing="0" w:afterAutospacing="0" w:line="600" w:lineRule="exact"/>
        <w:ind w:firstLine="641"/>
        <w:jc w:val="both"/>
        <w:rPr>
          <w:rFonts w:ascii="黑体" w:hAnsi="宋体" w:eastAsia="黑体" w:cs="黑体"/>
          <w:b/>
          <w:bCs/>
          <w:color w:val="000000"/>
          <w:sz w:val="32"/>
          <w:szCs w:val="32"/>
          <w:highlight w:val="none"/>
        </w:rPr>
      </w:pPr>
      <w:r>
        <w:rPr>
          <w:rFonts w:hint="eastAsia" w:ascii="黑体" w:hAnsi="宋体" w:eastAsia="黑体" w:cs="黑体"/>
          <w:b/>
          <w:bCs/>
          <w:color w:val="000000"/>
          <w:sz w:val="32"/>
          <w:szCs w:val="32"/>
          <w:highlight w:val="none"/>
        </w:rPr>
        <w:t>三、宣传思想文化工作专题</w:t>
      </w:r>
    </w:p>
    <w:p w14:paraId="1F8FA7F2">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1.习近平总书记关于宣传思想文化工作的重要论述</w:t>
      </w:r>
    </w:p>
    <w:p w14:paraId="3A318591">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2.《习近平文化思想学习纲要》</w:t>
      </w:r>
    </w:p>
    <w:p w14:paraId="1116CBEE">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3.《习近平总书记关于加强和改进民族工作的重要思想学习读本》</w:t>
      </w:r>
    </w:p>
    <w:p w14:paraId="5BFF2F81">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4.《习近平总书记关于做好新时代党的统一战线工作的重要思想学习读本》</w:t>
      </w:r>
    </w:p>
    <w:p w14:paraId="00CA4A56">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5.《中国共产党宣传工作条例》</w:t>
      </w:r>
    </w:p>
    <w:p w14:paraId="734AFB4C">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6.《中国共产党统一战线工作条例》</w:t>
      </w:r>
    </w:p>
    <w:p w14:paraId="70F7996F">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7.《党史学习教育工作条例》</w:t>
      </w:r>
    </w:p>
    <w:p w14:paraId="3E85E833">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8.视频讲座《社会主义的历史进程（上、下集）》（2集“学习强国”平台）</w:t>
      </w:r>
    </w:p>
    <w:p w14:paraId="221698FD">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9.参观学习红色教育基地、学校校史馆、艺术馆等</w:t>
      </w:r>
    </w:p>
    <w:p w14:paraId="73757C24">
      <w:pPr>
        <w:pStyle w:val="2"/>
        <w:spacing w:beforeAutospacing="0" w:afterAutospacing="0" w:line="600" w:lineRule="exact"/>
        <w:ind w:firstLine="640"/>
        <w:jc w:val="both"/>
        <w:rPr>
          <w:highlight w:val="none"/>
        </w:rPr>
      </w:pPr>
      <w:r>
        <w:rPr>
          <w:rFonts w:ascii="黑体" w:hAnsi="宋体" w:eastAsia="黑体" w:cs="黑体"/>
          <w:b/>
          <w:bCs/>
          <w:color w:val="000000"/>
          <w:sz w:val="32"/>
          <w:szCs w:val="32"/>
          <w:highlight w:val="none"/>
        </w:rPr>
        <w:t>四、师德师风建设专题</w:t>
      </w:r>
    </w:p>
    <w:p w14:paraId="48FE2447">
      <w:pPr>
        <w:pStyle w:val="2"/>
        <w:spacing w:beforeAutospacing="0" w:afterAutospacing="0" w:line="600" w:lineRule="exact"/>
        <w:ind w:firstLine="640"/>
        <w:jc w:val="both"/>
        <w:rPr>
          <w:highlight w:val="none"/>
        </w:rPr>
      </w:pPr>
      <w:r>
        <w:rPr>
          <w:rFonts w:ascii="仿宋_GB2312" w:eastAsia="仿宋_GB2312" w:cs="仿宋_GB2312"/>
          <w:color w:val="000000"/>
          <w:sz w:val="32"/>
          <w:szCs w:val="32"/>
          <w:highlight w:val="none"/>
        </w:rPr>
        <w:t>1.</w:t>
      </w:r>
      <w:r>
        <w:rPr>
          <w:rFonts w:hint="eastAsia" w:ascii="仿宋_GB2312" w:eastAsia="仿宋_GB2312" w:cs="仿宋_GB2312"/>
          <w:color w:val="000000"/>
          <w:sz w:val="32"/>
          <w:szCs w:val="32"/>
          <w:highlight w:val="none"/>
        </w:rPr>
        <w:t>《</w:t>
      </w:r>
      <w:r>
        <w:rPr>
          <w:rFonts w:ascii="仿宋_GB2312" w:eastAsia="仿宋_GB2312" w:cs="仿宋_GB2312"/>
          <w:color w:val="000000"/>
          <w:sz w:val="32"/>
          <w:szCs w:val="32"/>
          <w:highlight w:val="none"/>
        </w:rPr>
        <w:t>新时代高校教师职业行为十项准则</w:t>
      </w:r>
      <w:r>
        <w:rPr>
          <w:rFonts w:hint="eastAsia" w:ascii="仿宋_GB2312" w:eastAsia="仿宋_GB2312" w:cs="仿宋_GB2312"/>
          <w:color w:val="000000"/>
          <w:sz w:val="32"/>
          <w:szCs w:val="32"/>
          <w:highlight w:val="none"/>
        </w:rPr>
        <w:t>》</w:t>
      </w:r>
    </w:p>
    <w:p w14:paraId="0D7E2E0C">
      <w:pPr>
        <w:pStyle w:val="2"/>
        <w:spacing w:beforeAutospacing="0" w:afterAutospacing="0" w:line="600" w:lineRule="exact"/>
        <w:ind w:firstLine="640"/>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2.《中共中央 国务院关于弘扬教育家精神加强新时代高素质专业化教师队伍建设的意见》</w:t>
      </w:r>
    </w:p>
    <w:p w14:paraId="72B40D11">
      <w:pPr>
        <w:pStyle w:val="2"/>
        <w:spacing w:beforeAutospacing="0" w:afterAutospacing="0" w:line="600" w:lineRule="exact"/>
        <w:ind w:firstLine="640"/>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3.《事业单位工作人员处分规定》</w:t>
      </w:r>
    </w:p>
    <w:p w14:paraId="1B61EB3B">
      <w:pPr>
        <w:pStyle w:val="2"/>
        <w:spacing w:beforeAutospacing="0" w:afterAutospacing="0" w:line="600" w:lineRule="exact"/>
        <w:ind w:firstLine="640"/>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4.《中国共产党纪律处分条例》</w:t>
      </w:r>
    </w:p>
    <w:p w14:paraId="0257E506">
      <w:pPr>
        <w:pStyle w:val="2"/>
        <w:spacing w:beforeAutospacing="0" w:afterAutospacing="0" w:line="600" w:lineRule="exact"/>
        <w:ind w:firstLine="640"/>
        <w:jc w:val="both"/>
        <w:rPr>
          <w:highlight w:val="none"/>
        </w:rPr>
      </w:pPr>
      <w:r>
        <w:rPr>
          <w:rFonts w:hint="eastAsia" w:ascii="仿宋_GB2312" w:eastAsia="仿宋_GB2312" w:cs="仿宋_GB2312"/>
          <w:color w:val="000000"/>
          <w:sz w:val="32"/>
          <w:szCs w:val="32"/>
          <w:highlight w:val="none"/>
        </w:rPr>
        <w:t>5.《安徽省高等学校教师师德失范行为处理办法（试行）》</w:t>
      </w:r>
    </w:p>
    <w:p w14:paraId="14E0D5F1">
      <w:pPr>
        <w:pStyle w:val="2"/>
        <w:spacing w:beforeAutospacing="0" w:afterAutospacing="0" w:line="600" w:lineRule="exact"/>
        <w:ind w:firstLine="640"/>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6.《滁州学院教师师德失范行为处理实施细则（试行）》</w:t>
      </w:r>
    </w:p>
    <w:p w14:paraId="4CEC9AE3">
      <w:pPr>
        <w:pStyle w:val="2"/>
        <w:spacing w:beforeAutospacing="0" w:afterAutospacing="0" w:line="600" w:lineRule="exact"/>
        <w:ind w:firstLine="640"/>
        <w:jc w:val="both"/>
        <w:rPr>
          <w:highlight w:val="none"/>
        </w:rPr>
      </w:pPr>
      <w:r>
        <w:rPr>
          <w:rFonts w:hint="eastAsia" w:ascii="仿宋_GB2312" w:eastAsia="仿宋_GB2312" w:cs="仿宋_GB2312"/>
          <w:color w:val="000000"/>
          <w:sz w:val="32"/>
          <w:szCs w:val="32"/>
          <w:highlight w:val="none"/>
        </w:rPr>
        <w:t>7.《高等学校预防与处理学术不端行为办法》</w:t>
      </w:r>
    </w:p>
    <w:p w14:paraId="421FC144">
      <w:pPr>
        <w:pStyle w:val="2"/>
        <w:spacing w:beforeAutospacing="0" w:afterAutospacing="0" w:line="600" w:lineRule="exact"/>
        <w:ind w:firstLine="640"/>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8.《科研失信行为调查处理规则》</w:t>
      </w:r>
    </w:p>
    <w:p w14:paraId="354ED55B">
      <w:pPr>
        <w:pStyle w:val="2"/>
        <w:spacing w:beforeAutospacing="0" w:afterAutospacing="0" w:line="600" w:lineRule="exact"/>
        <w:ind w:firstLine="640"/>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9.《教育部关于加强高等学校科研诚信建设与学术不端治理的指导意见》</w:t>
      </w:r>
    </w:p>
    <w:p w14:paraId="4CC5E9BD">
      <w:pPr>
        <w:pStyle w:val="2"/>
        <w:spacing w:beforeAutospacing="0" w:afterAutospacing="0" w:line="600" w:lineRule="exact"/>
        <w:ind w:firstLine="640"/>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10.《高等学校学术不端行为调查处理实施细则》</w:t>
      </w:r>
    </w:p>
    <w:p w14:paraId="7EDD7994">
      <w:pPr>
        <w:pStyle w:val="2"/>
        <w:spacing w:beforeAutospacing="0" w:afterAutospacing="0" w:line="600" w:lineRule="exact"/>
        <w:ind w:firstLine="640"/>
        <w:jc w:val="both"/>
        <w:rPr>
          <w:highlight w:val="none"/>
        </w:rPr>
      </w:pPr>
      <w:r>
        <w:rPr>
          <w:rFonts w:hint="eastAsia" w:ascii="仿宋_GB2312" w:eastAsia="仿宋_GB2312" w:cs="仿宋_GB2312"/>
          <w:color w:val="000000"/>
          <w:sz w:val="32"/>
          <w:szCs w:val="32"/>
          <w:highlight w:val="none"/>
        </w:rPr>
        <w:t>11.《滁州学院预防与处理学术不端行为办法（修订）》</w:t>
      </w:r>
    </w:p>
    <w:p w14:paraId="1360CE9F">
      <w:pPr>
        <w:pStyle w:val="2"/>
        <w:spacing w:beforeAutospacing="0" w:afterAutospacing="0" w:line="600" w:lineRule="exact"/>
        <w:ind w:firstLine="640"/>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12.教育部、安徽省发布的师德先进典型材料和违反教师职业行为十项准则典型案例等</w:t>
      </w:r>
    </w:p>
    <w:p w14:paraId="57C256A5">
      <w:pPr>
        <w:pStyle w:val="2"/>
        <w:spacing w:beforeAutospacing="0" w:afterAutospacing="0" w:line="600" w:lineRule="exact"/>
        <w:ind w:firstLine="640"/>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13.纪录片《教育家精神》《大教育家》</w:t>
      </w:r>
    </w:p>
    <w:p w14:paraId="3CD0227B">
      <w:pPr>
        <w:pStyle w:val="2"/>
        <w:spacing w:beforeAutospacing="0" w:afterAutospacing="0" w:line="600" w:lineRule="exact"/>
        <w:ind w:firstLine="640"/>
        <w:jc w:val="both"/>
        <w:rPr>
          <w:rFonts w:ascii="黑体" w:hAnsi="宋体" w:eastAsia="黑体" w:cs="黑体"/>
          <w:b/>
          <w:bCs/>
          <w:color w:val="000000"/>
          <w:sz w:val="32"/>
          <w:szCs w:val="32"/>
          <w:highlight w:val="none"/>
        </w:rPr>
      </w:pPr>
      <w:r>
        <w:rPr>
          <w:rFonts w:hint="eastAsia" w:ascii="黑体" w:hAnsi="宋体" w:eastAsia="黑体" w:cs="黑体"/>
          <w:b/>
          <w:bCs/>
          <w:color w:val="000000"/>
          <w:sz w:val="32"/>
          <w:szCs w:val="32"/>
          <w:highlight w:val="none"/>
        </w:rPr>
        <w:t>五、法治安全工作专题</w:t>
      </w:r>
    </w:p>
    <w:p w14:paraId="13BCC321">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1.习近平：《论坚持全面依法治国》</w:t>
      </w:r>
    </w:p>
    <w:p w14:paraId="1281802A">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2.《习近平关于全面依法治国论述摘编》</w:t>
      </w:r>
    </w:p>
    <w:p w14:paraId="0C981F06">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3.习近平在中央全面依法治国工作会议上的讲话</w:t>
      </w:r>
    </w:p>
    <w:p w14:paraId="1DAD5935">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4.《习近平法治思想学习纲要》</w:t>
      </w:r>
    </w:p>
    <w:p w14:paraId="359A8262">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5.《习近平法治思想学习问答》</w:t>
      </w:r>
    </w:p>
    <w:p w14:paraId="55D9D236">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6.习近平在中央政法工作会议上的讲话</w:t>
      </w:r>
    </w:p>
    <w:p w14:paraId="6B41CE15">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7.习近平在二十届中央国家安全委员会第一次会议上的讲话</w:t>
      </w:r>
    </w:p>
    <w:p w14:paraId="2E649848">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8.《习近平关于总体国家安全观论述摘编》</w:t>
      </w:r>
    </w:p>
    <w:p w14:paraId="5383ACED">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9.《滁州学院章程（2023年核准稿）》</w:t>
      </w:r>
    </w:p>
    <w:p w14:paraId="1FFC8FEE">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10.宪法、教师法、高等教育法、学位法、民法典、保守国家秘密法、数据安全法、网络安全法、反电信网络诈骗法、中国共产党党员网络行为规定等</w:t>
      </w:r>
    </w:p>
    <w:p w14:paraId="39380BCA"/>
    <w:sectPr>
      <w:footnotePr>
        <w:numFmt w:val="decimal"/>
      </w:footnotePr>
      <w:pgSz w:w="11900" w:h="16840"/>
      <w:pgMar w:top="1417" w:right="1417" w:bottom="1417" w:left="1417" w:header="0" w:footer="6"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E3F94"/>
    <w:rsid w:val="186E3F94"/>
    <w:rsid w:val="7D7C7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2025-03-14T03:44:00Z</dcterms:created>
  <dc:creator>starbucks</dc:creator>
  <cp:lastModifiedBy>starbucks</cp:lastModifiedBy>
  <dcterms:modified xsi:type="dcterms:W3CDTF">2025-03-14T03:45:17Z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56B728740D4D4881B80156ABB2BCD855_11</vt:lpwstr>
  </property>
  <property fmtid="{D5CDD505-2E9C-101B-9397-08002B2CF9AE}" pid="4" name="KSOTemplateDocerSaveRecord">
    <vt:lpwstr>eyJoZGlkIjoiOWIzNzUxMGU4NDU0ZjUwMThmY2E2NjhjYTY2NzVhYjEiLCJ1c2VySWQiOiIyNDg2Nzk4NjIifQ==</vt:lpwstr>
  </property>
</Properties>
</file>