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AF" w:rsidRPr="00E71B0C" w:rsidRDefault="00BE6FAF" w:rsidP="00BE6FAF">
      <w:pPr>
        <w:adjustRightInd w:val="0"/>
        <w:snapToGrid w:val="0"/>
        <w:rPr>
          <w:rFonts w:ascii="仿宋_GB2312" w:eastAsia="仿宋_GB2312" w:hAnsi="华文中宋"/>
          <w:bCs/>
          <w:color w:val="000000"/>
          <w:sz w:val="24"/>
          <w:szCs w:val="24"/>
        </w:rPr>
      </w:pPr>
      <w:r w:rsidRPr="00E71B0C">
        <w:rPr>
          <w:rFonts w:ascii="仿宋_GB2312" w:eastAsia="仿宋_GB2312" w:hAnsi="华文中宋" w:hint="eastAsia"/>
          <w:bCs/>
          <w:color w:val="000000"/>
          <w:sz w:val="24"/>
          <w:szCs w:val="24"/>
        </w:rPr>
        <w:t>附件</w:t>
      </w:r>
      <w:r w:rsidR="00366AB4">
        <w:rPr>
          <w:rFonts w:ascii="仿宋_GB2312" w:eastAsia="仿宋_GB2312" w:hAnsi="华文中宋" w:hint="eastAsia"/>
          <w:bCs/>
          <w:color w:val="000000"/>
          <w:sz w:val="24"/>
          <w:szCs w:val="24"/>
        </w:rPr>
        <w:t>3</w:t>
      </w:r>
      <w:r w:rsidRPr="00E71B0C">
        <w:rPr>
          <w:rFonts w:ascii="仿宋_GB2312" w:eastAsia="仿宋_GB2312" w:hAnsi="华文中宋" w:hint="eastAsia"/>
          <w:bCs/>
          <w:color w:val="000000"/>
          <w:sz w:val="24"/>
          <w:szCs w:val="24"/>
        </w:rPr>
        <w:t>：</w:t>
      </w:r>
    </w:p>
    <w:p w:rsidR="00BE6FAF" w:rsidRPr="00E71B0C" w:rsidRDefault="00366AB4" w:rsidP="00BE6FAF">
      <w:pPr>
        <w:adjustRightInd w:val="0"/>
        <w:snapToGrid w:val="0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 w:rsidRPr="00366AB4">
        <w:rPr>
          <w:rFonts w:ascii="黑体" w:eastAsia="黑体" w:hAnsi="黑体" w:hint="eastAsia"/>
          <w:bCs/>
          <w:color w:val="000000"/>
          <w:sz w:val="36"/>
          <w:szCs w:val="36"/>
        </w:rPr>
        <w:t>二级学院</w:t>
      </w:r>
      <w:r w:rsidR="00BE6FAF" w:rsidRPr="00E71B0C">
        <w:rPr>
          <w:rFonts w:ascii="黑体" w:eastAsia="黑体" w:hAnsi="黑体" w:hint="eastAsia"/>
          <w:bCs/>
          <w:color w:val="000000"/>
          <w:sz w:val="36"/>
          <w:szCs w:val="36"/>
        </w:rPr>
        <w:t>师资队伍建设工作目</w:t>
      </w:r>
      <w:bookmarkStart w:id="0" w:name="_GoBack"/>
      <w:bookmarkEnd w:id="0"/>
      <w:r w:rsidR="00BE6FAF" w:rsidRPr="00E71B0C">
        <w:rPr>
          <w:rFonts w:ascii="黑体" w:eastAsia="黑体" w:hAnsi="黑体" w:hint="eastAsia"/>
          <w:bCs/>
          <w:color w:val="000000"/>
          <w:sz w:val="36"/>
          <w:szCs w:val="36"/>
        </w:rPr>
        <w:t>标考核</w:t>
      </w:r>
      <w:r w:rsidR="00BC3B12" w:rsidRPr="00BC3B12">
        <w:rPr>
          <w:rFonts w:ascii="黑体" w:eastAsia="黑体" w:hAnsi="黑体" w:hint="eastAsia"/>
          <w:bCs/>
          <w:color w:val="000000"/>
          <w:sz w:val="36"/>
          <w:szCs w:val="36"/>
        </w:rPr>
        <w:t>指标体系</w:t>
      </w:r>
    </w:p>
    <w:tbl>
      <w:tblPr>
        <w:tblW w:w="1467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01"/>
        <w:gridCol w:w="2360"/>
        <w:gridCol w:w="5187"/>
        <w:gridCol w:w="674"/>
        <w:gridCol w:w="4857"/>
      </w:tblGrid>
      <w:tr w:rsidR="00BE6FAF" w:rsidRPr="00042F34" w:rsidTr="005901BD">
        <w:trPr>
          <w:trHeight w:val="390"/>
          <w:jc w:val="center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/>
                <w:bCs/>
                <w:color w:val="000000"/>
                <w:sz w:val="24"/>
                <w:szCs w:val="24"/>
              </w:rPr>
              <w:t>考核项目</w:t>
            </w:r>
          </w:p>
        </w:tc>
        <w:tc>
          <w:tcPr>
            <w:tcW w:w="5187" w:type="dxa"/>
            <w:vMerge w:val="restart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/>
                <w:bCs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674" w:type="dxa"/>
            <w:vMerge w:val="restart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4857" w:type="dxa"/>
            <w:vMerge w:val="restart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/>
                <w:bCs/>
                <w:color w:val="000000"/>
                <w:sz w:val="24"/>
                <w:szCs w:val="24"/>
              </w:rPr>
              <w:t>评分标准</w:t>
            </w:r>
          </w:p>
        </w:tc>
      </w:tr>
      <w:tr w:rsidR="00BE6FAF" w:rsidRPr="00042F34" w:rsidTr="005901BD">
        <w:trPr>
          <w:trHeight w:val="368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/>
                <w:bCs/>
                <w:color w:val="000000"/>
                <w:spacing w:val="-20"/>
                <w:sz w:val="24"/>
                <w:szCs w:val="24"/>
              </w:rPr>
              <w:t>二级指标</w:t>
            </w:r>
          </w:p>
        </w:tc>
        <w:tc>
          <w:tcPr>
            <w:tcW w:w="5187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FAF" w:rsidRPr="00042F34" w:rsidTr="005901BD">
        <w:trPr>
          <w:trHeight w:val="1006"/>
          <w:jc w:val="center"/>
        </w:trPr>
        <w:tc>
          <w:tcPr>
            <w:tcW w:w="1601" w:type="dxa"/>
            <w:vMerge w:val="restart"/>
            <w:vAlign w:val="center"/>
          </w:tcPr>
          <w:p w:rsidR="00BE6FAF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/>
                <w:color w:val="000000"/>
                <w:sz w:val="24"/>
                <w:szCs w:val="24"/>
              </w:rPr>
            </w:pPr>
            <w:r w:rsidRPr="00794C98">
              <w:rPr>
                <w:rFonts w:ascii="仿宋_GB2312" w:eastAsia="仿宋_GB2312" w:hAnsi="楷体" w:hint="eastAsia"/>
                <w:b/>
                <w:color w:val="000000"/>
                <w:sz w:val="24"/>
                <w:szCs w:val="24"/>
              </w:rPr>
              <w:t>师资队伍</w:t>
            </w:r>
          </w:p>
          <w:p w:rsidR="00BE6FAF" w:rsidRPr="00794C98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/>
                <w:color w:val="000000"/>
                <w:sz w:val="24"/>
                <w:szCs w:val="24"/>
              </w:rPr>
            </w:pPr>
            <w:r w:rsidRPr="00794C98">
              <w:rPr>
                <w:rFonts w:ascii="仿宋_GB2312" w:eastAsia="仿宋_GB2312" w:hAnsi="楷体" w:hint="eastAsia"/>
                <w:b/>
                <w:color w:val="000000"/>
                <w:sz w:val="24"/>
                <w:szCs w:val="24"/>
              </w:rPr>
              <w:t>建设与管理</w:t>
            </w:r>
          </w:p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2360" w:type="dxa"/>
            <w:vAlign w:val="center"/>
          </w:tcPr>
          <w:p w:rsidR="00BE6FAF" w:rsidRPr="00E71B0C" w:rsidRDefault="00BE6FAF" w:rsidP="00A4699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科学化程度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重视师资队伍建设，成立院（部）人才工作领导小组，按照学校整体师资规划目标，制定科学合理的学院师资队伍建设规划及年度工作计划。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仿宋_GB2312" w:eastAsia="仿宋_GB2312" w:hAnsi="楷体"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完成情况良好4分，完成情况一般2分。</w:t>
            </w:r>
          </w:p>
        </w:tc>
      </w:tr>
      <w:tr w:rsidR="00BE6FAF" w:rsidRPr="00042F34" w:rsidTr="005901BD">
        <w:trPr>
          <w:trHeight w:val="858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E6FAF" w:rsidRPr="00E71B0C" w:rsidRDefault="00BE6FAF" w:rsidP="00A4699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规范化程度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师资管理制度完备，措施得当，落实有效，能够及时传达、落实学校有关师资工作布置，鼓励、督促教师完成水平与能力提升工作。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仿宋_GB2312" w:eastAsia="仿宋_GB2312" w:hAnsi="楷体"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完成情况良好4分，完成情况一般2分。</w:t>
            </w:r>
          </w:p>
        </w:tc>
      </w:tr>
      <w:tr w:rsidR="00BE6FAF" w:rsidRPr="00042F34" w:rsidTr="005901BD">
        <w:trPr>
          <w:trHeight w:val="565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E6FAF" w:rsidRPr="00E71B0C" w:rsidRDefault="00BE6FAF" w:rsidP="00A4699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信息化程度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注重师资队伍建设宣传工作，学院网站师资信息完备，人才招聘等管理信息系统使用良好，能够积极利用信息化手段改进师资管理工作。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color w:val="000000"/>
                <w:sz w:val="24"/>
                <w:szCs w:val="24"/>
              </w:rPr>
              <w:t>2分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完成情况良好2分，完成情况一般1分。</w:t>
            </w:r>
          </w:p>
        </w:tc>
      </w:tr>
      <w:tr w:rsidR="00BE6FAF" w:rsidRPr="00042F34" w:rsidTr="005901BD">
        <w:trPr>
          <w:trHeight w:val="613"/>
          <w:jc w:val="center"/>
        </w:trPr>
        <w:tc>
          <w:tcPr>
            <w:tcW w:w="1601" w:type="dxa"/>
            <w:vMerge w:val="restart"/>
            <w:vAlign w:val="center"/>
          </w:tcPr>
          <w:p w:rsidR="00BE6FAF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/>
                <w:bCs/>
                <w:color w:val="000000"/>
                <w:sz w:val="24"/>
                <w:szCs w:val="24"/>
              </w:rPr>
              <w:t>师资队伍数量与结构</w:t>
            </w:r>
          </w:p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2360" w:type="dxa"/>
            <w:vAlign w:val="center"/>
          </w:tcPr>
          <w:p w:rsidR="00BE6FAF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1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10"/>
                <w:sz w:val="24"/>
                <w:szCs w:val="24"/>
              </w:rPr>
              <w:t>专任教师生师比</w:t>
            </w:r>
          </w:p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1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10"/>
                <w:sz w:val="24"/>
                <w:szCs w:val="24"/>
              </w:rPr>
              <w:t>（公共课生师比）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完成学校下达的年度教师引进计划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视同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生师比达到既定目标。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年度引进计划完成95%以上6分，85-9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4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%为5分，70-84%为4分，50-69%为3分。</w:t>
            </w:r>
          </w:p>
        </w:tc>
      </w:tr>
      <w:tr w:rsidR="00BE6FAF" w:rsidRPr="00042F34" w:rsidTr="005901BD">
        <w:trPr>
          <w:trHeight w:val="645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vAlign w:val="center"/>
          </w:tcPr>
          <w:p w:rsidR="00BE6FAF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16"/>
                <w:sz w:val="24"/>
                <w:szCs w:val="24"/>
              </w:rPr>
              <w:t>兼职教师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比例</w:t>
            </w:r>
          </w:p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16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16"/>
                <w:sz w:val="24"/>
                <w:szCs w:val="24"/>
              </w:rPr>
              <w:t>（承担实际任务比例）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外聘兼职教师占专任教师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的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比例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3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完成目标比例90%以上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3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分，80-89%为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2.5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分，70-79%为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2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分，60-69%为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1.5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BE6FAF" w:rsidRPr="00042F34" w:rsidTr="005901BD">
        <w:trPr>
          <w:trHeight w:val="620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16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承担理论和实践教学等实质性工作任务的占兼职教师比例（须提供聘用协议和教学工作任务通知单）。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2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4857" w:type="dxa"/>
            <w:tcBorders>
              <w:top w:val="single" w:sz="4" w:space="0" w:color="auto"/>
            </w:tcBorders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完成目标比例90%以上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2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分，80-89%为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1.5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分，70-79%为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1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分，60-69%为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0.5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BE6FAF" w:rsidRPr="00042F34" w:rsidTr="005901BD">
        <w:trPr>
          <w:trHeight w:val="613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博士学位</w:t>
            </w: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教师比例（含在读）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具有博士学位教师占专任教师队伍比例情况。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完成目标比例95%以上为5分，85-94%为4分，70-84%为3分，50-69%为2分。</w:t>
            </w:r>
          </w:p>
        </w:tc>
      </w:tr>
      <w:tr w:rsidR="00BE6FAF" w:rsidRPr="00042F34" w:rsidTr="005901BD">
        <w:trPr>
          <w:trHeight w:val="420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vAlign w:val="center"/>
          </w:tcPr>
          <w:p w:rsidR="00BE6FAF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1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10"/>
                <w:sz w:val="24"/>
                <w:szCs w:val="24"/>
              </w:rPr>
              <w:t>副高以上比例</w:t>
            </w:r>
          </w:p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1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10"/>
                <w:sz w:val="24"/>
                <w:szCs w:val="24"/>
              </w:rPr>
              <w:t>（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含校内聘任专业技术职务</w:t>
            </w:r>
            <w:r w:rsidRPr="00E71B0C">
              <w:rPr>
                <w:rFonts w:ascii="仿宋_GB2312" w:eastAsia="仿宋_GB2312" w:hAnsi="楷体" w:hint="eastAsia"/>
                <w:bCs/>
                <w:spacing w:val="-10"/>
                <w:sz w:val="24"/>
                <w:szCs w:val="24"/>
              </w:rPr>
              <w:t>）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4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10"/>
                <w:sz w:val="24"/>
                <w:szCs w:val="24"/>
              </w:rPr>
              <w:t>正高</w:t>
            </w:r>
            <w:r>
              <w:rPr>
                <w:rFonts w:ascii="仿宋_GB2312" w:eastAsia="仿宋_GB2312" w:hAnsi="楷体" w:hint="eastAsia"/>
                <w:bCs/>
                <w:spacing w:val="-10"/>
                <w:sz w:val="24"/>
                <w:szCs w:val="24"/>
              </w:rPr>
              <w:t>职称教师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占专任教师队伍比例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2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完成目标比例95%以上为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2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分，85-94%为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1.5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分，70-84%为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1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分，50-69%为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0.5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BE6FAF" w:rsidRPr="00042F34" w:rsidTr="005901BD">
        <w:trPr>
          <w:trHeight w:val="525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10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副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高及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以上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职称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教师占专任教师队伍比例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3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4857" w:type="dxa"/>
            <w:tcBorders>
              <w:top w:val="single" w:sz="4" w:space="0" w:color="auto"/>
            </w:tcBorders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完成目标比例95%以上为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3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分，85-94%为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2.5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分，70-84%为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2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分，50-69%为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1.5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BE6FAF" w:rsidRPr="00042F34" w:rsidTr="005901BD">
        <w:trPr>
          <w:trHeight w:val="675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具有海外学习经历比例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具有国（境）外培训学习经历教师占专任教师比例情况。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完成目标比例90%以上为4分，80-89%为3分，70-79%为2分，50-69%为1分。</w:t>
            </w:r>
          </w:p>
        </w:tc>
      </w:tr>
      <w:tr w:rsidR="00BE6FAF" w:rsidRPr="00042F34" w:rsidTr="005901BD">
        <w:trPr>
          <w:trHeight w:val="644"/>
          <w:jc w:val="center"/>
        </w:trPr>
        <w:tc>
          <w:tcPr>
            <w:tcW w:w="1601" w:type="dxa"/>
            <w:vMerge w:val="restart"/>
            <w:vAlign w:val="center"/>
          </w:tcPr>
          <w:p w:rsidR="00BE6FAF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  <w:r w:rsidRPr="00794C98">
              <w:rPr>
                <w:rFonts w:ascii="仿宋_GB2312" w:eastAsia="仿宋_GB2312" w:hAnsi="楷体" w:hint="eastAsia"/>
                <w:b/>
                <w:color w:val="000000"/>
                <w:sz w:val="24"/>
                <w:szCs w:val="24"/>
              </w:rPr>
              <w:t>应用型</w:t>
            </w:r>
            <w:r w:rsidRPr="00794C98">
              <w:rPr>
                <w:rFonts w:ascii="仿宋_GB2312" w:eastAsia="仿宋_GB2312" w:hAnsi="楷体" w:hint="eastAsia"/>
                <w:b/>
                <w:bCs/>
                <w:color w:val="000000"/>
                <w:sz w:val="24"/>
                <w:szCs w:val="24"/>
              </w:rPr>
              <w:t>教师队伍建设</w:t>
            </w:r>
          </w:p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2360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1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10"/>
                <w:sz w:val="24"/>
                <w:szCs w:val="24"/>
              </w:rPr>
              <w:t>双能型教师比例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经学校认定为“双能型”教师占专任教师比例。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4分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完成目标比例100%为4分，80-99%为3分，70-79%为2分，60-69%为1分。</w:t>
            </w:r>
          </w:p>
        </w:tc>
      </w:tr>
      <w:tr w:rsidR="00BE6FAF" w:rsidRPr="00042F34" w:rsidTr="005901BD">
        <w:trPr>
          <w:trHeight w:val="383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E6FAF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2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20"/>
                <w:sz w:val="24"/>
                <w:szCs w:val="24"/>
              </w:rPr>
              <w:t>挂职锻炼比例</w:t>
            </w:r>
          </w:p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2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20"/>
                <w:sz w:val="24"/>
                <w:szCs w:val="24"/>
              </w:rPr>
              <w:t>（经学校考核合格以上）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列入学校计划赴企事业单位挂职锻炼，期满经学校集中考核合格以上教师占专任教师比例。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4分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完成目标比例100%为4分，80-99%为3分，70-79%为2分，60-69%为1分。</w:t>
            </w:r>
          </w:p>
        </w:tc>
      </w:tr>
      <w:tr w:rsidR="00BE6FAF" w:rsidRPr="00042F34" w:rsidTr="005901BD">
        <w:trPr>
          <w:trHeight w:val="539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A46994" w:rsidRDefault="00BE6FAF" w:rsidP="00A4699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383AE5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教师社会实践</w:t>
            </w:r>
          </w:p>
          <w:p w:rsidR="00BE6FAF" w:rsidRPr="00383AE5" w:rsidRDefault="00BE6FAF" w:rsidP="00A4699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383AE5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基地建设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  <w:szCs w:val="24"/>
              </w:rPr>
              <w:t>学</w:t>
            </w: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院</w:t>
            </w:r>
            <w:r>
              <w:rPr>
                <w:rFonts w:ascii="仿宋_GB2312" w:eastAsia="仿宋_GB2312" w:hAnsi="楷体" w:hint="eastAsia"/>
                <w:bCs/>
                <w:sz w:val="24"/>
                <w:szCs w:val="24"/>
              </w:rPr>
              <w:t>落实</w:t>
            </w: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教师社会实践基地情况。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3分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完成目标比例100%为3分，50%以上为2分，30%以上为1分。</w:t>
            </w:r>
          </w:p>
        </w:tc>
      </w:tr>
      <w:tr w:rsidR="00BE6FAF" w:rsidRPr="00042F34" w:rsidTr="005901BD">
        <w:trPr>
          <w:trHeight w:val="570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A46994" w:rsidRDefault="00BE6FAF" w:rsidP="00A4699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383AE5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取得中级以上</w:t>
            </w:r>
          </w:p>
          <w:p w:rsidR="00BE6FAF" w:rsidRPr="00383AE5" w:rsidRDefault="00BE6FAF" w:rsidP="00A4699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383AE5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职业资格比例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383AE5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取得中级以上国家职业资格教师占专任教师比例情况。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3分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完成目标比例90%以上为3分，70-89%为2分，50%-69%为1分。</w:t>
            </w:r>
          </w:p>
        </w:tc>
      </w:tr>
      <w:tr w:rsidR="00BE6FAF" w:rsidRPr="00042F34" w:rsidTr="005901BD">
        <w:trPr>
          <w:trHeight w:val="414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1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10"/>
                <w:sz w:val="24"/>
                <w:szCs w:val="24"/>
              </w:rPr>
              <w:t>引进企业技术人才数（高端人才）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由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学校</w:t>
            </w: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或院（部）签订协议、承担实质性工作的企业技术人才引进，尤其是高端人才引进情况。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3分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完成目标比例90%以上为3分，70-89%为2分，50%-69%为1分，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其中</w:t>
            </w: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高端人才引进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未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落实的计分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折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半；未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设定目标的单位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，按本项额定分值折半计分，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计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1.5分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BE6FAF" w:rsidRPr="00042F34" w:rsidTr="005901BD">
        <w:trPr>
          <w:trHeight w:val="910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A46994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省市科技</w:t>
            </w:r>
          </w:p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特派员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列入省、市科技部门等组织计划，选派为地方企事业单位提供科技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服务</w:t>
            </w: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人员情况。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3分</w:t>
            </w:r>
          </w:p>
        </w:tc>
        <w:tc>
          <w:tcPr>
            <w:tcW w:w="4857" w:type="dxa"/>
            <w:tcBorders>
              <w:top w:val="single" w:sz="4" w:space="0" w:color="auto"/>
            </w:tcBorders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完成目标比例90%以上为3分，70-89%为2分，50%-69%为1分，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未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设定目标的单位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，按本项额定分值折半计分，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计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1.5分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BE6FAF" w:rsidRPr="00042F34" w:rsidTr="005901BD">
        <w:trPr>
          <w:trHeight w:val="230"/>
          <w:jc w:val="center"/>
        </w:trPr>
        <w:tc>
          <w:tcPr>
            <w:tcW w:w="1601" w:type="dxa"/>
            <w:vMerge w:val="restart"/>
            <w:vAlign w:val="center"/>
          </w:tcPr>
          <w:p w:rsidR="00BE6FAF" w:rsidRPr="00794C98" w:rsidRDefault="00BE6FAF" w:rsidP="00720592">
            <w:pPr>
              <w:adjustRightInd w:val="0"/>
              <w:snapToGrid w:val="0"/>
              <w:spacing w:line="360" w:lineRule="exact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  <w:r w:rsidRPr="00794C98">
              <w:rPr>
                <w:rFonts w:ascii="仿宋_GB2312" w:eastAsia="仿宋_GB2312" w:hAnsi="楷体" w:hint="eastAsia"/>
                <w:b/>
                <w:color w:val="000000"/>
                <w:sz w:val="24"/>
                <w:szCs w:val="24"/>
              </w:rPr>
              <w:t>高层次</w:t>
            </w:r>
            <w:r w:rsidRPr="00794C98">
              <w:rPr>
                <w:rFonts w:ascii="仿宋_GB2312" w:eastAsia="仿宋_GB2312" w:hAnsi="楷体" w:hint="eastAsia"/>
                <w:b/>
                <w:bCs/>
                <w:color w:val="000000"/>
                <w:sz w:val="24"/>
                <w:szCs w:val="24"/>
              </w:rPr>
              <w:t>人才及团队建设</w:t>
            </w:r>
          </w:p>
          <w:p w:rsidR="00BE6FAF" w:rsidRPr="00E71B0C" w:rsidRDefault="00BE6FAF" w:rsidP="007205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2360" w:type="dxa"/>
            <w:vAlign w:val="center"/>
          </w:tcPr>
          <w:p w:rsidR="00A46994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柔性引进高</w:t>
            </w:r>
          </w:p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层次人才数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按照学校柔性引进有关政策，由院（部）申报、学校研究同意柔性引进的高层次人才情况。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根据目标设定人数要求，平均分摊计分。</w:t>
            </w:r>
          </w:p>
        </w:tc>
      </w:tr>
      <w:tr w:rsidR="00BE6FAF" w:rsidRPr="00042F34" w:rsidTr="005901BD">
        <w:trPr>
          <w:trHeight w:val="799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A46994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1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10"/>
                <w:sz w:val="24"/>
                <w:szCs w:val="24"/>
              </w:rPr>
              <w:t>选派攻读博士、</w:t>
            </w:r>
          </w:p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1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10"/>
                <w:sz w:val="24"/>
                <w:szCs w:val="24"/>
              </w:rPr>
              <w:t>国内外访学人数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选派攻读博士研究生和国内、外访问学者情况。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选派读博4分、访学2分；根据各自目标设定人数要求，平均分摊计分。</w:t>
            </w:r>
          </w:p>
        </w:tc>
      </w:tr>
      <w:tr w:rsidR="00BE6FAF" w:rsidRPr="00042F34" w:rsidTr="005901BD">
        <w:trPr>
          <w:trHeight w:val="839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A46994" w:rsidRDefault="00BE6FAF" w:rsidP="00A4699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校级带头人等</w:t>
            </w:r>
          </w:p>
          <w:p w:rsidR="00BE6FAF" w:rsidRPr="00E71B0C" w:rsidRDefault="00BE6FAF" w:rsidP="00A4699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高层次人才数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获得校级学术技术带头人及后备人选、校级教学名师等校内高层次人才称号情况（按称号计算）。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完成目标比例90%为5分，70-89%为4分，60-69%为3分，50-59%为2分。</w:t>
            </w:r>
          </w:p>
        </w:tc>
      </w:tr>
      <w:tr w:rsidR="00BE6FAF" w:rsidRPr="00042F34" w:rsidTr="005901BD">
        <w:trPr>
          <w:trHeight w:val="762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A46994" w:rsidRDefault="00BE6FAF" w:rsidP="007205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AC45EA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校级重点人才</w:t>
            </w:r>
          </w:p>
          <w:p w:rsidR="00BE6FAF" w:rsidRPr="00E71B0C" w:rsidRDefault="00BE6FAF" w:rsidP="007205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383AE5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团队</w:t>
            </w:r>
            <w:r w:rsidRPr="00AC45EA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建设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培育学校重点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科技或者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人才团队及阶段性考核情况。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完成目标且阶段性考核合格4分；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未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设定目标的单位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，按本项额定分值折半计分，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计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2分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BE6FAF" w:rsidRPr="00042F34" w:rsidTr="005901BD">
        <w:trPr>
          <w:trHeight w:val="326"/>
          <w:jc w:val="center"/>
        </w:trPr>
        <w:tc>
          <w:tcPr>
            <w:tcW w:w="1601" w:type="dxa"/>
            <w:vMerge w:val="restart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/>
                <w:bCs/>
                <w:color w:val="000000"/>
                <w:sz w:val="24"/>
                <w:szCs w:val="24"/>
              </w:rPr>
              <w:t>青年教师队伍建设</w:t>
            </w:r>
          </w:p>
          <w:p w:rsidR="00BE6FAF" w:rsidRPr="00E71B0C" w:rsidRDefault="00BE6FAF" w:rsidP="007205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2360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1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10"/>
                <w:sz w:val="24"/>
                <w:szCs w:val="24"/>
              </w:rPr>
              <w:t>青年教师导师制考核合格比例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考核院（部）青年教师及其落实学校导师制文件要求的情况。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3分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完成目标比例100%为3分，80-99%为1分。</w:t>
            </w:r>
          </w:p>
        </w:tc>
      </w:tr>
      <w:tr w:rsidR="00BE6FAF" w:rsidRPr="00042F34" w:rsidTr="005901BD">
        <w:trPr>
          <w:trHeight w:val="337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pacing w:val="-2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pacing w:val="-20"/>
                <w:sz w:val="24"/>
                <w:szCs w:val="24"/>
              </w:rPr>
              <w:t>校优秀中青年骨干教师、教坛新秀人数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获评校级优秀中青年骨干教师、省（校）级教坛新秀等情况（按称号计算）。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完成目标比例100%为4分，80-99%为3分，70-79%为2分，60-69%为1分。</w:t>
            </w:r>
          </w:p>
        </w:tc>
      </w:tr>
      <w:tr w:rsidR="00BE6FAF" w:rsidRPr="00042F34" w:rsidTr="005901BD">
        <w:trPr>
          <w:trHeight w:val="261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sz w:val="24"/>
                <w:szCs w:val="24"/>
              </w:rPr>
              <w:t>青年教师基本功竞赛获奖数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青年教师参加学校组织的教学基本功竞赛、职业技能竞赛等获得前三等奖情况。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3分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根据目标设定人数要求，平均分摊计分。</w:t>
            </w:r>
          </w:p>
        </w:tc>
      </w:tr>
      <w:tr w:rsidR="00BE6FAF" w:rsidRPr="00042F34" w:rsidTr="005901BD">
        <w:trPr>
          <w:trHeight w:val="357"/>
          <w:jc w:val="center"/>
        </w:trPr>
        <w:tc>
          <w:tcPr>
            <w:tcW w:w="1601" w:type="dxa"/>
            <w:vMerge w:val="restart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color w:val="000000"/>
                <w:spacing w:val="-10"/>
                <w:sz w:val="24"/>
                <w:szCs w:val="24"/>
              </w:rPr>
            </w:pPr>
            <w:r w:rsidRPr="00794C98">
              <w:rPr>
                <w:rFonts w:ascii="仿宋_GB2312" w:eastAsia="仿宋_GB2312" w:hAnsi="楷体" w:hint="eastAsia"/>
                <w:b/>
                <w:bCs/>
                <w:color w:val="000000"/>
                <w:spacing w:val="-10"/>
                <w:sz w:val="24"/>
                <w:szCs w:val="24"/>
              </w:rPr>
              <w:t>省级</w:t>
            </w:r>
            <w:r>
              <w:rPr>
                <w:rFonts w:ascii="仿宋_GB2312" w:eastAsia="仿宋_GB2312" w:hAnsi="楷体" w:hint="eastAsia"/>
                <w:b/>
                <w:bCs/>
                <w:color w:val="000000"/>
                <w:spacing w:val="-10"/>
                <w:sz w:val="24"/>
                <w:szCs w:val="24"/>
              </w:rPr>
              <w:t>以上</w:t>
            </w:r>
            <w:r w:rsidRPr="00794C98">
              <w:rPr>
                <w:rFonts w:ascii="仿宋_GB2312" w:eastAsia="仿宋_GB2312" w:hAnsi="楷体" w:hint="eastAsia"/>
                <w:b/>
                <w:bCs/>
                <w:color w:val="000000"/>
                <w:spacing w:val="-10"/>
                <w:sz w:val="24"/>
                <w:szCs w:val="24"/>
              </w:rPr>
              <w:t>人才</w:t>
            </w:r>
            <w:r>
              <w:rPr>
                <w:rFonts w:ascii="仿宋_GB2312" w:eastAsia="仿宋_GB2312" w:hAnsi="楷体" w:hint="eastAsia"/>
                <w:b/>
                <w:bCs/>
                <w:color w:val="000000"/>
                <w:spacing w:val="-10"/>
                <w:sz w:val="24"/>
                <w:szCs w:val="24"/>
              </w:rPr>
              <w:t>与团队</w:t>
            </w:r>
            <w:r w:rsidRPr="00794C98">
              <w:rPr>
                <w:rFonts w:ascii="仿宋_GB2312" w:eastAsia="仿宋_GB2312" w:hAnsi="楷体" w:hint="eastAsia"/>
                <w:b/>
                <w:bCs/>
                <w:color w:val="000000"/>
                <w:spacing w:val="-10"/>
                <w:sz w:val="24"/>
                <w:szCs w:val="24"/>
              </w:rPr>
              <w:t>计划</w:t>
            </w:r>
            <w:r w:rsidRPr="00E71B0C">
              <w:rPr>
                <w:rFonts w:ascii="仿宋_GB2312" w:eastAsia="仿宋_GB2312" w:hAnsi="楷体" w:hint="eastAsia"/>
                <w:bCs/>
                <w:color w:val="000000"/>
                <w:spacing w:val="-10"/>
                <w:sz w:val="24"/>
                <w:szCs w:val="24"/>
              </w:rPr>
              <w:t>（15分，超额任务累计积分项）</w:t>
            </w:r>
          </w:p>
        </w:tc>
        <w:tc>
          <w:tcPr>
            <w:tcW w:w="2360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省级以上高水平人才数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考核院（部）拥有国家级、省级高水平教学、学术技术及特殊贡献人才等情况。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40"/>
              <w:rPr>
                <w:rFonts w:ascii="仿宋_GB2312" w:eastAsia="仿宋_GB2312" w:hAnsi="楷体"/>
                <w:color w:val="000000"/>
                <w:spacing w:val="-1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pacing w:val="-10"/>
                <w:sz w:val="24"/>
                <w:szCs w:val="24"/>
              </w:rPr>
              <w:t>设定目标的单位，根据目标设定人数要求，平均分摊计分；未设定目标单位，此项不得分，如实际完成按省级每名5分、国家级每名10分计。</w:t>
            </w:r>
          </w:p>
        </w:tc>
      </w:tr>
      <w:tr w:rsidR="00BE6FAF" w:rsidRPr="00042F34" w:rsidTr="005901BD">
        <w:trPr>
          <w:trHeight w:val="261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省级以上高层次研究团队</w:t>
            </w:r>
          </w:p>
        </w:tc>
        <w:tc>
          <w:tcPr>
            <w:tcW w:w="518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考核院（部）拥有国家级、省级高层次研究团队情况。（参照教育部评估指标体系要求）</w:t>
            </w:r>
          </w:p>
        </w:tc>
        <w:tc>
          <w:tcPr>
            <w:tcW w:w="674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完成设定目标5分，未完成或未设定目标不得分。</w:t>
            </w:r>
          </w:p>
        </w:tc>
      </w:tr>
      <w:tr w:rsidR="00BE6FAF" w:rsidRPr="00042F34" w:rsidTr="005901BD">
        <w:trPr>
          <w:trHeight w:val="337"/>
          <w:jc w:val="center"/>
        </w:trPr>
        <w:tc>
          <w:tcPr>
            <w:tcW w:w="1601" w:type="dxa"/>
            <w:vMerge w:val="restart"/>
            <w:vAlign w:val="center"/>
          </w:tcPr>
          <w:p w:rsidR="00BE6FAF" w:rsidRPr="00794C98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94C98">
              <w:rPr>
                <w:rFonts w:ascii="仿宋_GB2312" w:eastAsia="仿宋_GB2312" w:hAnsi="楷体" w:hint="eastAsia"/>
                <w:b/>
                <w:color w:val="000000"/>
                <w:sz w:val="24"/>
                <w:szCs w:val="24"/>
              </w:rPr>
              <w:t>应用型</w:t>
            </w:r>
            <w:r w:rsidRPr="00794C98">
              <w:rPr>
                <w:rFonts w:ascii="仿宋_GB2312" w:eastAsia="仿宋_GB2312" w:hAnsi="楷体" w:hint="eastAsia"/>
                <w:b/>
                <w:bCs/>
                <w:color w:val="000000"/>
                <w:spacing w:val="-10"/>
                <w:sz w:val="24"/>
                <w:szCs w:val="24"/>
              </w:rPr>
              <w:t>成效</w:t>
            </w:r>
          </w:p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color w:val="000000"/>
                <w:spacing w:val="-10"/>
                <w:sz w:val="24"/>
                <w:szCs w:val="24"/>
              </w:rPr>
              <w:t>（加分项目）</w:t>
            </w:r>
          </w:p>
        </w:tc>
        <w:tc>
          <w:tcPr>
            <w:tcW w:w="2360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教师获得突出应用型成果</w:t>
            </w:r>
          </w:p>
        </w:tc>
        <w:tc>
          <w:tcPr>
            <w:tcW w:w="5187" w:type="dxa"/>
            <w:vMerge w:val="restart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考核院（部）师资队伍应用型能力提升的标志性成果，重点体现应用型能力的水平与层次要求，不作为硬性目标分配，由各院（部）总结凝练并经相关主管部门认定后作为加分项目。</w:t>
            </w:r>
          </w:p>
        </w:tc>
        <w:tc>
          <w:tcPr>
            <w:tcW w:w="674" w:type="dxa"/>
            <w:vMerge w:val="restart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bCs/>
                <w:color w:val="000000"/>
                <w:spacing w:val="-10"/>
                <w:sz w:val="24"/>
                <w:szCs w:val="24"/>
              </w:rPr>
              <w:t>累计积分</w:t>
            </w: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有教师获得百万以上经费的横向项目、为省级以上政府提供决策咨询、创造显著的社会经济效益（上缴学校50万以上）等重大成果，每项加5分；</w:t>
            </w:r>
          </w:p>
        </w:tc>
      </w:tr>
      <w:tr w:rsidR="00BE6FAF" w:rsidRPr="00042F34" w:rsidTr="005901BD">
        <w:trPr>
          <w:trHeight w:val="284"/>
          <w:jc w:val="center"/>
        </w:trPr>
        <w:tc>
          <w:tcPr>
            <w:tcW w:w="1601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行业领军人才引进效果</w:t>
            </w:r>
          </w:p>
        </w:tc>
        <w:tc>
          <w:tcPr>
            <w:tcW w:w="5187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BE6FAF" w:rsidRPr="00E71B0C" w:rsidRDefault="00BE6FAF" w:rsidP="0072059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E6FAF" w:rsidRPr="00E71B0C" w:rsidRDefault="00BE6FAF" w:rsidP="00BB76F9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引进行业领军人才作为专业带头人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，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带领本专业进入国内领先行列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，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或带领团队创造出国内领先应用技术成果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；</w:t>
            </w:r>
            <w:r w:rsidRPr="00E71B0C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每项加5分。</w:t>
            </w:r>
          </w:p>
        </w:tc>
      </w:tr>
    </w:tbl>
    <w:p w:rsidR="00BE6FAF" w:rsidRPr="008E3A50" w:rsidRDefault="00BE6FAF" w:rsidP="005901BD">
      <w:pPr>
        <w:adjustRightInd w:val="0"/>
        <w:snapToGrid w:val="0"/>
        <w:spacing w:line="300" w:lineRule="exact"/>
        <w:rPr>
          <w:rFonts w:ascii="仿宋_GB2312" w:eastAsia="仿宋_GB2312" w:hAnsi="仿宋"/>
          <w:bCs/>
          <w:color w:val="000000"/>
          <w:sz w:val="24"/>
        </w:rPr>
      </w:pPr>
      <w:r w:rsidRPr="008E3A50">
        <w:rPr>
          <w:rFonts w:ascii="仿宋_GB2312" w:eastAsia="仿宋_GB2312" w:hAnsi="仿宋" w:hint="eastAsia"/>
          <w:b/>
          <w:bCs/>
          <w:color w:val="000000"/>
          <w:sz w:val="24"/>
        </w:rPr>
        <w:t>注：</w:t>
      </w:r>
      <w:r w:rsidR="005901BD">
        <w:rPr>
          <w:rFonts w:ascii="仿宋_GB2312" w:eastAsia="仿宋_GB2312" w:hAnsi="仿宋" w:hint="eastAsia"/>
          <w:bCs/>
          <w:color w:val="000000"/>
          <w:sz w:val="24"/>
        </w:rPr>
        <w:t>１.</w:t>
      </w:r>
      <w:r w:rsidRPr="008E3A50">
        <w:rPr>
          <w:rFonts w:ascii="仿宋_GB2312" w:eastAsia="仿宋_GB2312" w:hAnsi="仿宋" w:hint="eastAsia"/>
          <w:bCs/>
          <w:color w:val="000000"/>
          <w:sz w:val="24"/>
        </w:rPr>
        <w:t>考核内容主要为《院（部）任期及年度工作目标责任书》中所明确的师资队伍建设工作方面的目标任务。</w:t>
      </w:r>
    </w:p>
    <w:p w:rsidR="00BE6FAF" w:rsidRPr="008E3A50" w:rsidRDefault="00BE6FAF" w:rsidP="005901BD">
      <w:pPr>
        <w:adjustRightInd w:val="0"/>
        <w:snapToGrid w:val="0"/>
        <w:spacing w:line="300" w:lineRule="exact"/>
        <w:ind w:firstLineChars="250" w:firstLine="600"/>
        <w:rPr>
          <w:rFonts w:ascii="仿宋_GB2312" w:eastAsia="仿宋_GB2312" w:hAnsi="仿宋"/>
          <w:bCs/>
          <w:color w:val="000000"/>
          <w:sz w:val="24"/>
        </w:rPr>
      </w:pPr>
      <w:r w:rsidRPr="008E3A50">
        <w:rPr>
          <w:rFonts w:ascii="仿宋_GB2312" w:eastAsia="仿宋_GB2312" w:hAnsi="仿宋" w:hint="eastAsia"/>
          <w:bCs/>
          <w:color w:val="000000"/>
          <w:sz w:val="24"/>
        </w:rPr>
        <w:t>2</w:t>
      </w:r>
      <w:r w:rsidR="005901BD">
        <w:rPr>
          <w:rFonts w:ascii="仿宋_GB2312" w:eastAsia="仿宋_GB2312" w:hAnsi="仿宋" w:hint="eastAsia"/>
          <w:bCs/>
          <w:color w:val="000000"/>
          <w:sz w:val="24"/>
        </w:rPr>
        <w:t>．</w:t>
      </w:r>
      <w:r w:rsidRPr="008E3A50">
        <w:rPr>
          <w:rFonts w:ascii="仿宋_GB2312" w:eastAsia="仿宋_GB2312" w:hAnsi="仿宋" w:hint="eastAsia"/>
          <w:bCs/>
          <w:color w:val="000000"/>
          <w:sz w:val="24"/>
        </w:rPr>
        <w:t>为强化教学院（部）师资队伍建设工作的科学化、规范化与信息化，突出过程管理的重要性，在目标责任书指标体系之外增设“师资队伍建设与管理状况”一级指标，其中包含3个非量化二级指标，届时根据实际工作开展情况进行定性考核。</w:t>
      </w:r>
    </w:p>
    <w:p w:rsidR="00BE6FAF" w:rsidRPr="008E3A50" w:rsidRDefault="00BE6FAF" w:rsidP="005901BD">
      <w:pPr>
        <w:adjustRightInd w:val="0"/>
        <w:snapToGrid w:val="0"/>
        <w:spacing w:line="300" w:lineRule="exact"/>
        <w:ind w:firstLineChars="250" w:firstLine="600"/>
        <w:rPr>
          <w:rFonts w:ascii="仿宋_GB2312" w:eastAsia="仿宋_GB2312" w:hAnsi="仿宋"/>
          <w:bCs/>
          <w:color w:val="000000"/>
          <w:sz w:val="24"/>
        </w:rPr>
      </w:pPr>
      <w:r w:rsidRPr="008E3A50">
        <w:rPr>
          <w:rFonts w:ascii="仿宋_GB2312" w:eastAsia="仿宋_GB2312" w:hAnsi="仿宋" w:hint="eastAsia"/>
          <w:bCs/>
          <w:color w:val="000000"/>
          <w:sz w:val="24"/>
        </w:rPr>
        <w:t>3</w:t>
      </w:r>
      <w:r w:rsidR="005901BD">
        <w:rPr>
          <w:rFonts w:ascii="仿宋_GB2312" w:eastAsia="仿宋_GB2312" w:hAnsi="仿宋" w:hint="eastAsia"/>
          <w:bCs/>
          <w:color w:val="000000"/>
          <w:sz w:val="24"/>
        </w:rPr>
        <w:t>．</w:t>
      </w:r>
      <w:r w:rsidRPr="008E3A50">
        <w:rPr>
          <w:rFonts w:ascii="仿宋_GB2312" w:eastAsia="仿宋_GB2312" w:hAnsi="仿宋" w:hint="eastAsia"/>
          <w:bCs/>
          <w:color w:val="000000"/>
          <w:sz w:val="24"/>
        </w:rPr>
        <w:t>为激励教学院（部）在高水平人才队伍和应用型师资队伍建设上做出优异成绩，取得突出性成效，在目标责任书指标体系中“省级人才</w:t>
      </w:r>
      <w:r>
        <w:rPr>
          <w:rFonts w:ascii="仿宋_GB2312" w:eastAsia="仿宋_GB2312" w:hAnsi="仿宋" w:hint="eastAsia"/>
          <w:bCs/>
          <w:color w:val="000000"/>
          <w:sz w:val="24"/>
        </w:rPr>
        <w:t>与团队</w:t>
      </w:r>
      <w:r w:rsidRPr="008E3A50">
        <w:rPr>
          <w:rFonts w:ascii="仿宋_GB2312" w:eastAsia="仿宋_GB2312" w:hAnsi="仿宋" w:hint="eastAsia"/>
          <w:bCs/>
          <w:color w:val="000000"/>
          <w:sz w:val="24"/>
        </w:rPr>
        <w:t>计划”和“应用型成效”2项指标任务考核得分不设上限，完成目标任务外的超额部分按省级每项5分、国家级每项10分累计积分（“应用型成效”不分省级、国家级的除外）。</w:t>
      </w:r>
    </w:p>
    <w:p w:rsidR="00BE6FAF" w:rsidRPr="00761003" w:rsidRDefault="00BE6FAF" w:rsidP="00BE6FAF">
      <w:pPr>
        <w:adjustRightInd w:val="0"/>
        <w:snapToGrid w:val="0"/>
        <w:spacing w:line="300" w:lineRule="exact"/>
        <w:ind w:firstLineChars="200" w:firstLine="480"/>
        <w:rPr>
          <w:rFonts w:ascii="仿宋_GB2312" w:eastAsia="仿宋_GB2312" w:hAnsi="仿宋"/>
          <w:bCs/>
          <w:color w:val="000000"/>
          <w:sz w:val="24"/>
        </w:rPr>
      </w:pPr>
      <w:r w:rsidRPr="008E3A50">
        <w:rPr>
          <w:rFonts w:ascii="仿宋_GB2312" w:eastAsia="仿宋_GB2312" w:hAnsi="仿宋" w:hint="eastAsia"/>
          <w:bCs/>
          <w:color w:val="000000"/>
          <w:sz w:val="24"/>
        </w:rPr>
        <w:t>4</w:t>
      </w:r>
      <w:r w:rsidR="005901BD">
        <w:rPr>
          <w:rFonts w:ascii="仿宋_GB2312" w:eastAsia="仿宋_GB2312" w:hAnsi="仿宋" w:hint="eastAsia"/>
          <w:bCs/>
          <w:color w:val="000000"/>
          <w:sz w:val="24"/>
        </w:rPr>
        <w:t>．</w:t>
      </w:r>
      <w:r w:rsidRPr="008E3A50">
        <w:rPr>
          <w:rFonts w:ascii="仿宋_GB2312" w:eastAsia="仿宋_GB2312" w:hAnsi="仿宋" w:hint="eastAsia"/>
          <w:bCs/>
          <w:color w:val="000000"/>
          <w:sz w:val="24"/>
        </w:rPr>
        <w:t>各教学院（部）目前师资队伍状况统计的口径为学校在职在岗、具有教师或实验系列职称人员（不含脱岗人员），学校机关管理部门、教辅机构等具有讲师以上职称人员按照专业归口纳入相关院（部）统计；校聘职称人员、柔性引进人才纳入统计。</w:t>
      </w:r>
    </w:p>
    <w:sectPr w:rsidR="00BE6FAF" w:rsidRPr="00761003" w:rsidSect="00585F26">
      <w:footerReference w:type="even" r:id="rId8"/>
      <w:footerReference w:type="default" r:id="rId9"/>
      <w:type w:val="continuous"/>
      <w:pgSz w:w="16838" w:h="11906" w:orient="landscape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ED" w:rsidRDefault="002B7CED" w:rsidP="00BE6FAF">
      <w:r>
        <w:separator/>
      </w:r>
    </w:p>
  </w:endnote>
  <w:endnote w:type="continuationSeparator" w:id="0">
    <w:p w:rsidR="002B7CED" w:rsidRDefault="002B7CED" w:rsidP="00BE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AF" w:rsidRDefault="00BE6FA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35</w:t>
    </w:r>
    <w:r>
      <w:fldChar w:fldCharType="end"/>
    </w:r>
  </w:p>
  <w:p w:rsidR="00BE6FAF" w:rsidRDefault="00BE6F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AF" w:rsidRDefault="00BE6FA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B7CED">
      <w:rPr>
        <w:rStyle w:val="a5"/>
        <w:noProof/>
      </w:rPr>
      <w:t>1</w:t>
    </w:r>
    <w:r>
      <w:fldChar w:fldCharType="end"/>
    </w:r>
  </w:p>
  <w:p w:rsidR="00BE6FAF" w:rsidRDefault="00BE6F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ED" w:rsidRDefault="002B7CED" w:rsidP="00BE6FAF">
      <w:r>
        <w:separator/>
      </w:r>
    </w:p>
  </w:footnote>
  <w:footnote w:type="continuationSeparator" w:id="0">
    <w:p w:rsidR="002B7CED" w:rsidRDefault="002B7CED" w:rsidP="00BE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45E"/>
    <w:multiLevelType w:val="hybridMultilevel"/>
    <w:tmpl w:val="1286E9E2"/>
    <w:lvl w:ilvl="0" w:tplc="22D0CA64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28255236"/>
    <w:multiLevelType w:val="hybridMultilevel"/>
    <w:tmpl w:val="90688596"/>
    <w:lvl w:ilvl="0" w:tplc="DAACB6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39C916C3"/>
    <w:multiLevelType w:val="hybridMultilevel"/>
    <w:tmpl w:val="DDCA2BA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">
    <w:nsid w:val="5628B039"/>
    <w:multiLevelType w:val="singleLevel"/>
    <w:tmpl w:val="5628B039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DB"/>
    <w:rsid w:val="00003088"/>
    <w:rsid w:val="00007A4C"/>
    <w:rsid w:val="00015249"/>
    <w:rsid w:val="00016AAB"/>
    <w:rsid w:val="00016CFB"/>
    <w:rsid w:val="0002201B"/>
    <w:rsid w:val="00032D66"/>
    <w:rsid w:val="0004774B"/>
    <w:rsid w:val="00056C39"/>
    <w:rsid w:val="0008392A"/>
    <w:rsid w:val="00084509"/>
    <w:rsid w:val="00084D2E"/>
    <w:rsid w:val="00090B5D"/>
    <w:rsid w:val="000A7675"/>
    <w:rsid w:val="000B10DB"/>
    <w:rsid w:val="000B361E"/>
    <w:rsid w:val="000B3ABE"/>
    <w:rsid w:val="000B790E"/>
    <w:rsid w:val="000D233A"/>
    <w:rsid w:val="000D6675"/>
    <w:rsid w:val="000D6B74"/>
    <w:rsid w:val="000E7DF0"/>
    <w:rsid w:val="000F357E"/>
    <w:rsid w:val="00100498"/>
    <w:rsid w:val="00104326"/>
    <w:rsid w:val="001117B5"/>
    <w:rsid w:val="00112B08"/>
    <w:rsid w:val="001161B1"/>
    <w:rsid w:val="001217BB"/>
    <w:rsid w:val="00123A02"/>
    <w:rsid w:val="00126B88"/>
    <w:rsid w:val="0013110D"/>
    <w:rsid w:val="001316A4"/>
    <w:rsid w:val="00131A62"/>
    <w:rsid w:val="00136017"/>
    <w:rsid w:val="0013760E"/>
    <w:rsid w:val="001438C5"/>
    <w:rsid w:val="00155251"/>
    <w:rsid w:val="001A731B"/>
    <w:rsid w:val="001B54EC"/>
    <w:rsid w:val="001B6A5E"/>
    <w:rsid w:val="001D2D37"/>
    <w:rsid w:val="0020185F"/>
    <w:rsid w:val="002204C3"/>
    <w:rsid w:val="0022061B"/>
    <w:rsid w:val="0022117F"/>
    <w:rsid w:val="00230E59"/>
    <w:rsid w:val="0023173E"/>
    <w:rsid w:val="00255382"/>
    <w:rsid w:val="002600C3"/>
    <w:rsid w:val="002605BA"/>
    <w:rsid w:val="00267C9B"/>
    <w:rsid w:val="00274C30"/>
    <w:rsid w:val="00275971"/>
    <w:rsid w:val="00282594"/>
    <w:rsid w:val="00283A81"/>
    <w:rsid w:val="00283D6B"/>
    <w:rsid w:val="00296F23"/>
    <w:rsid w:val="002A03CC"/>
    <w:rsid w:val="002A454E"/>
    <w:rsid w:val="002B112E"/>
    <w:rsid w:val="002B2001"/>
    <w:rsid w:val="002B5EEB"/>
    <w:rsid w:val="002B6585"/>
    <w:rsid w:val="002B7CED"/>
    <w:rsid w:val="002C0C9E"/>
    <w:rsid w:val="002C325B"/>
    <w:rsid w:val="002D5441"/>
    <w:rsid w:val="002E6F8F"/>
    <w:rsid w:val="002F2F86"/>
    <w:rsid w:val="0030159E"/>
    <w:rsid w:val="003020F2"/>
    <w:rsid w:val="00305474"/>
    <w:rsid w:val="003079D8"/>
    <w:rsid w:val="00311F89"/>
    <w:rsid w:val="00312420"/>
    <w:rsid w:val="0032131A"/>
    <w:rsid w:val="003217E7"/>
    <w:rsid w:val="003234E1"/>
    <w:rsid w:val="00343F31"/>
    <w:rsid w:val="00353FD2"/>
    <w:rsid w:val="00366AB4"/>
    <w:rsid w:val="003672EC"/>
    <w:rsid w:val="003909D9"/>
    <w:rsid w:val="00391ACD"/>
    <w:rsid w:val="003D11AC"/>
    <w:rsid w:val="003D4F4D"/>
    <w:rsid w:val="003D6A44"/>
    <w:rsid w:val="003E048D"/>
    <w:rsid w:val="003E433B"/>
    <w:rsid w:val="003E792A"/>
    <w:rsid w:val="003F3C94"/>
    <w:rsid w:val="003F43B0"/>
    <w:rsid w:val="003F6D33"/>
    <w:rsid w:val="00435185"/>
    <w:rsid w:val="00435E2E"/>
    <w:rsid w:val="00440EEE"/>
    <w:rsid w:val="004437B5"/>
    <w:rsid w:val="0047491E"/>
    <w:rsid w:val="00480FEE"/>
    <w:rsid w:val="004A5361"/>
    <w:rsid w:val="004B4589"/>
    <w:rsid w:val="004D0DC1"/>
    <w:rsid w:val="004D26B2"/>
    <w:rsid w:val="004D3D6B"/>
    <w:rsid w:val="004D54B3"/>
    <w:rsid w:val="004D54E1"/>
    <w:rsid w:val="004E523D"/>
    <w:rsid w:val="004F09E1"/>
    <w:rsid w:val="004F27F1"/>
    <w:rsid w:val="00512283"/>
    <w:rsid w:val="005137F4"/>
    <w:rsid w:val="00525F49"/>
    <w:rsid w:val="005354B6"/>
    <w:rsid w:val="00551719"/>
    <w:rsid w:val="00556EFF"/>
    <w:rsid w:val="00557E41"/>
    <w:rsid w:val="005733CE"/>
    <w:rsid w:val="00583BC5"/>
    <w:rsid w:val="00585F26"/>
    <w:rsid w:val="005901BD"/>
    <w:rsid w:val="005917FD"/>
    <w:rsid w:val="00595423"/>
    <w:rsid w:val="005B1654"/>
    <w:rsid w:val="005C37D6"/>
    <w:rsid w:val="005C4B86"/>
    <w:rsid w:val="005E14FB"/>
    <w:rsid w:val="005F3BED"/>
    <w:rsid w:val="005F5197"/>
    <w:rsid w:val="00630F98"/>
    <w:rsid w:val="00641EC1"/>
    <w:rsid w:val="00657C71"/>
    <w:rsid w:val="00661922"/>
    <w:rsid w:val="00663463"/>
    <w:rsid w:val="00665DF1"/>
    <w:rsid w:val="00686155"/>
    <w:rsid w:val="0068698E"/>
    <w:rsid w:val="00686A6B"/>
    <w:rsid w:val="006906A4"/>
    <w:rsid w:val="00691597"/>
    <w:rsid w:val="006A12DD"/>
    <w:rsid w:val="006A12FE"/>
    <w:rsid w:val="006B08F5"/>
    <w:rsid w:val="006B3F2E"/>
    <w:rsid w:val="006B60AB"/>
    <w:rsid w:val="006C1DEF"/>
    <w:rsid w:val="006C3C69"/>
    <w:rsid w:val="006F56D5"/>
    <w:rsid w:val="00712092"/>
    <w:rsid w:val="00723DD7"/>
    <w:rsid w:val="007327EF"/>
    <w:rsid w:val="00736774"/>
    <w:rsid w:val="00746CFB"/>
    <w:rsid w:val="007810E4"/>
    <w:rsid w:val="0079113C"/>
    <w:rsid w:val="007A5C89"/>
    <w:rsid w:val="007B76A8"/>
    <w:rsid w:val="007D550C"/>
    <w:rsid w:val="007E0BAD"/>
    <w:rsid w:val="008009A9"/>
    <w:rsid w:val="00807E1E"/>
    <w:rsid w:val="008315DF"/>
    <w:rsid w:val="00837175"/>
    <w:rsid w:val="00847B57"/>
    <w:rsid w:val="00854F19"/>
    <w:rsid w:val="00860921"/>
    <w:rsid w:val="00863549"/>
    <w:rsid w:val="00866764"/>
    <w:rsid w:val="0086720A"/>
    <w:rsid w:val="0087013F"/>
    <w:rsid w:val="00873FA3"/>
    <w:rsid w:val="00876112"/>
    <w:rsid w:val="00881D94"/>
    <w:rsid w:val="0088395F"/>
    <w:rsid w:val="00884BF5"/>
    <w:rsid w:val="008914FB"/>
    <w:rsid w:val="00891F89"/>
    <w:rsid w:val="008B5016"/>
    <w:rsid w:val="008B640C"/>
    <w:rsid w:val="008B7E8C"/>
    <w:rsid w:val="008D0D73"/>
    <w:rsid w:val="008D4482"/>
    <w:rsid w:val="008E7675"/>
    <w:rsid w:val="008F39B8"/>
    <w:rsid w:val="008F7A33"/>
    <w:rsid w:val="00903AAC"/>
    <w:rsid w:val="00903BC8"/>
    <w:rsid w:val="00907305"/>
    <w:rsid w:val="00917197"/>
    <w:rsid w:val="009239A6"/>
    <w:rsid w:val="00936B7D"/>
    <w:rsid w:val="00946F27"/>
    <w:rsid w:val="009544C2"/>
    <w:rsid w:val="0097070C"/>
    <w:rsid w:val="009768D9"/>
    <w:rsid w:val="0099764F"/>
    <w:rsid w:val="009A176C"/>
    <w:rsid w:val="009A17CD"/>
    <w:rsid w:val="009A17EA"/>
    <w:rsid w:val="009B31B1"/>
    <w:rsid w:val="009D74CC"/>
    <w:rsid w:val="009D7A31"/>
    <w:rsid w:val="009F3749"/>
    <w:rsid w:val="00A06657"/>
    <w:rsid w:val="00A14D82"/>
    <w:rsid w:val="00A20F9C"/>
    <w:rsid w:val="00A46994"/>
    <w:rsid w:val="00A543E8"/>
    <w:rsid w:val="00A62A99"/>
    <w:rsid w:val="00A73DEB"/>
    <w:rsid w:val="00A7596F"/>
    <w:rsid w:val="00A82BC0"/>
    <w:rsid w:val="00A950CE"/>
    <w:rsid w:val="00AA0865"/>
    <w:rsid w:val="00AA2024"/>
    <w:rsid w:val="00AA7C49"/>
    <w:rsid w:val="00AB5863"/>
    <w:rsid w:val="00AC18F4"/>
    <w:rsid w:val="00AC5279"/>
    <w:rsid w:val="00AC52B7"/>
    <w:rsid w:val="00AC63CE"/>
    <w:rsid w:val="00AF3407"/>
    <w:rsid w:val="00B20A9E"/>
    <w:rsid w:val="00B22BA2"/>
    <w:rsid w:val="00B55223"/>
    <w:rsid w:val="00B567E5"/>
    <w:rsid w:val="00B63BC6"/>
    <w:rsid w:val="00B75917"/>
    <w:rsid w:val="00B760D3"/>
    <w:rsid w:val="00B85C10"/>
    <w:rsid w:val="00B8788E"/>
    <w:rsid w:val="00B87EBB"/>
    <w:rsid w:val="00B92040"/>
    <w:rsid w:val="00B92640"/>
    <w:rsid w:val="00B9308E"/>
    <w:rsid w:val="00B949CD"/>
    <w:rsid w:val="00BB76F9"/>
    <w:rsid w:val="00BC2A5A"/>
    <w:rsid w:val="00BC3B12"/>
    <w:rsid w:val="00BD34E2"/>
    <w:rsid w:val="00BE2AB4"/>
    <w:rsid w:val="00BE42C8"/>
    <w:rsid w:val="00BE647A"/>
    <w:rsid w:val="00BE6FAF"/>
    <w:rsid w:val="00BF13F4"/>
    <w:rsid w:val="00BF78CD"/>
    <w:rsid w:val="00C0210B"/>
    <w:rsid w:val="00C03CC3"/>
    <w:rsid w:val="00C249B9"/>
    <w:rsid w:val="00C254C3"/>
    <w:rsid w:val="00C36940"/>
    <w:rsid w:val="00C40148"/>
    <w:rsid w:val="00C434A8"/>
    <w:rsid w:val="00C44A24"/>
    <w:rsid w:val="00C471A1"/>
    <w:rsid w:val="00C52246"/>
    <w:rsid w:val="00C53F30"/>
    <w:rsid w:val="00C552DA"/>
    <w:rsid w:val="00C701C7"/>
    <w:rsid w:val="00C77A2E"/>
    <w:rsid w:val="00C80A15"/>
    <w:rsid w:val="00C8166E"/>
    <w:rsid w:val="00C84FCC"/>
    <w:rsid w:val="00C87D48"/>
    <w:rsid w:val="00C93372"/>
    <w:rsid w:val="00CA48DB"/>
    <w:rsid w:val="00CB5055"/>
    <w:rsid w:val="00CB52B5"/>
    <w:rsid w:val="00CC4D57"/>
    <w:rsid w:val="00CD2D08"/>
    <w:rsid w:val="00CD47F9"/>
    <w:rsid w:val="00CE2D9D"/>
    <w:rsid w:val="00CE74D8"/>
    <w:rsid w:val="00CF10E0"/>
    <w:rsid w:val="00CF2B35"/>
    <w:rsid w:val="00CF60A4"/>
    <w:rsid w:val="00D03B75"/>
    <w:rsid w:val="00D12B6F"/>
    <w:rsid w:val="00D1657F"/>
    <w:rsid w:val="00D26B46"/>
    <w:rsid w:val="00D4133C"/>
    <w:rsid w:val="00D4238F"/>
    <w:rsid w:val="00D565E0"/>
    <w:rsid w:val="00D657A3"/>
    <w:rsid w:val="00D65A48"/>
    <w:rsid w:val="00D676E6"/>
    <w:rsid w:val="00D714E4"/>
    <w:rsid w:val="00D734FB"/>
    <w:rsid w:val="00D74333"/>
    <w:rsid w:val="00D871D5"/>
    <w:rsid w:val="00DA1C29"/>
    <w:rsid w:val="00DB6D1D"/>
    <w:rsid w:val="00DB7428"/>
    <w:rsid w:val="00DC29C2"/>
    <w:rsid w:val="00DD727D"/>
    <w:rsid w:val="00DE5465"/>
    <w:rsid w:val="00DF3510"/>
    <w:rsid w:val="00DF4606"/>
    <w:rsid w:val="00E00074"/>
    <w:rsid w:val="00E0500D"/>
    <w:rsid w:val="00E22634"/>
    <w:rsid w:val="00E33355"/>
    <w:rsid w:val="00E37DFA"/>
    <w:rsid w:val="00E44B1A"/>
    <w:rsid w:val="00E50CF3"/>
    <w:rsid w:val="00E5686A"/>
    <w:rsid w:val="00E62ACC"/>
    <w:rsid w:val="00E63A41"/>
    <w:rsid w:val="00E72B4F"/>
    <w:rsid w:val="00E76550"/>
    <w:rsid w:val="00E825F9"/>
    <w:rsid w:val="00E84844"/>
    <w:rsid w:val="00E87B26"/>
    <w:rsid w:val="00EB253E"/>
    <w:rsid w:val="00EB38B4"/>
    <w:rsid w:val="00EB6292"/>
    <w:rsid w:val="00F0677C"/>
    <w:rsid w:val="00F10450"/>
    <w:rsid w:val="00F16B3F"/>
    <w:rsid w:val="00F2160A"/>
    <w:rsid w:val="00F27699"/>
    <w:rsid w:val="00F40D9A"/>
    <w:rsid w:val="00F57796"/>
    <w:rsid w:val="00F63245"/>
    <w:rsid w:val="00F71856"/>
    <w:rsid w:val="00F743E4"/>
    <w:rsid w:val="00F761E7"/>
    <w:rsid w:val="00FC0E16"/>
    <w:rsid w:val="00FC2455"/>
    <w:rsid w:val="00FD55CA"/>
    <w:rsid w:val="00FE3FC7"/>
    <w:rsid w:val="00FE6426"/>
    <w:rsid w:val="00FF01DC"/>
    <w:rsid w:val="00FF35B8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FAF"/>
    <w:rPr>
      <w:sz w:val="18"/>
      <w:szCs w:val="18"/>
    </w:rPr>
  </w:style>
  <w:style w:type="character" w:styleId="a5">
    <w:name w:val="page number"/>
    <w:basedOn w:val="a0"/>
    <w:uiPriority w:val="99"/>
    <w:rsid w:val="00BE6FAF"/>
  </w:style>
  <w:style w:type="paragraph" w:styleId="a6">
    <w:name w:val="Date"/>
    <w:basedOn w:val="a"/>
    <w:next w:val="a"/>
    <w:link w:val="Char1"/>
    <w:uiPriority w:val="99"/>
    <w:semiHidden/>
    <w:unhideWhenUsed/>
    <w:rsid w:val="00BE6FA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E6FAF"/>
    <w:rPr>
      <w:rFonts w:ascii="Calibri" w:eastAsia="宋体" w:hAnsi="Calibri" w:cs="Times New Roman"/>
    </w:rPr>
  </w:style>
  <w:style w:type="character" w:styleId="a7">
    <w:name w:val="annotation reference"/>
    <w:semiHidden/>
    <w:rsid w:val="00BE6FAF"/>
    <w:rPr>
      <w:sz w:val="21"/>
      <w:szCs w:val="21"/>
    </w:rPr>
  </w:style>
  <w:style w:type="paragraph" w:styleId="a8">
    <w:name w:val="Normal (Web)"/>
    <w:basedOn w:val="a"/>
    <w:rsid w:val="00BE6FAF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888888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BE6FA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E6FA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FAF"/>
    <w:rPr>
      <w:sz w:val="18"/>
      <w:szCs w:val="18"/>
    </w:rPr>
  </w:style>
  <w:style w:type="character" w:styleId="a5">
    <w:name w:val="page number"/>
    <w:basedOn w:val="a0"/>
    <w:uiPriority w:val="99"/>
    <w:rsid w:val="00BE6FAF"/>
  </w:style>
  <w:style w:type="paragraph" w:styleId="a6">
    <w:name w:val="Date"/>
    <w:basedOn w:val="a"/>
    <w:next w:val="a"/>
    <w:link w:val="Char1"/>
    <w:uiPriority w:val="99"/>
    <w:semiHidden/>
    <w:unhideWhenUsed/>
    <w:rsid w:val="00BE6FA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E6FAF"/>
    <w:rPr>
      <w:rFonts w:ascii="Calibri" w:eastAsia="宋体" w:hAnsi="Calibri" w:cs="Times New Roman"/>
    </w:rPr>
  </w:style>
  <w:style w:type="character" w:styleId="a7">
    <w:name w:val="annotation reference"/>
    <w:semiHidden/>
    <w:rsid w:val="00BE6FAF"/>
    <w:rPr>
      <w:sz w:val="21"/>
      <w:szCs w:val="21"/>
    </w:rPr>
  </w:style>
  <w:style w:type="paragraph" w:styleId="a8">
    <w:name w:val="Normal (Web)"/>
    <w:basedOn w:val="a"/>
    <w:rsid w:val="00BE6FAF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888888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BE6FA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E6F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Administrator</cp:lastModifiedBy>
  <cp:revision>6</cp:revision>
  <dcterms:created xsi:type="dcterms:W3CDTF">2016-01-13T09:24:00Z</dcterms:created>
  <dcterms:modified xsi:type="dcterms:W3CDTF">2017-12-29T04:35:00Z</dcterms:modified>
</cp:coreProperties>
</file>